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media/image2.png" ContentType="image/png"/>
  <Override PartName="/word/media/image3.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hanging="270" w:left="851"/>
        <w:jc w:val="both"/>
        <w:rPr>
          <w:rFonts w:cs="Calibri"/>
          <w:sz w:val="40"/>
          <w:szCs w:val="40"/>
        </w:rPr>
      </w:pPr>
      <w:r>
        <w:rPr>
          <w:rFonts w:cs="Calibri"/>
          <w:sz w:val="40"/>
          <w:szCs w:val="40"/>
        </w:rPr>
      </w:r>
    </w:p>
    <w:p>
      <w:pPr>
        <w:pStyle w:val="Normal"/>
        <w:spacing w:lineRule="auto" w:line="240" w:before="0" w:after="0"/>
        <w:ind w:hanging="270" w:left="851"/>
        <w:jc w:val="both"/>
        <w:rPr>
          <w:rFonts w:cs="Calibri"/>
          <w:sz w:val="40"/>
          <w:szCs w:val="40"/>
        </w:rPr>
      </w:pPr>
      <w:r>
        <w:rPr>
          <w:rFonts w:cs="Calibri"/>
          <w:sz w:val="40"/>
          <w:szCs w:val="40"/>
        </w:rPr>
      </w:r>
    </w:p>
    <w:p>
      <w:pPr>
        <w:pStyle w:val="Normal"/>
        <w:spacing w:lineRule="auto" w:line="240" w:before="0" w:after="0"/>
        <w:ind w:hanging="270" w:left="851"/>
        <w:jc w:val="both"/>
        <w:rPr>
          <w:rFonts w:cs="Calibri"/>
          <w:sz w:val="40"/>
          <w:szCs w:val="40"/>
        </w:rPr>
      </w:pPr>
      <w:r>
        <w:rPr>
          <w:rFonts w:cs="Calibri"/>
          <w:sz w:val="40"/>
          <w:szCs w:val="40"/>
        </w:rPr>
      </w:r>
    </w:p>
    <w:p>
      <w:pPr>
        <w:pStyle w:val="Normal"/>
        <w:spacing w:lineRule="auto" w:line="240" w:before="0" w:after="0"/>
        <w:ind w:hanging="270" w:left="851"/>
        <w:jc w:val="both"/>
        <w:rPr>
          <w:rFonts w:cs="Calibri"/>
          <w:sz w:val="40"/>
          <w:szCs w:val="40"/>
        </w:rPr>
      </w:pPr>
      <w:r>
        <w:rPr>
          <w:rFonts w:cs="Calibri"/>
          <w:sz w:val="40"/>
          <w:szCs w:val="40"/>
        </w:rPr>
      </w:r>
    </w:p>
    <w:p>
      <w:pPr>
        <w:pStyle w:val="Normal"/>
        <w:spacing w:lineRule="auto" w:line="240" w:before="0" w:after="0"/>
        <w:ind w:hanging="270" w:left="851"/>
        <w:jc w:val="both"/>
        <w:rPr>
          <w:rFonts w:cs="Calibri"/>
          <w:sz w:val="40"/>
          <w:szCs w:val="40"/>
        </w:rPr>
      </w:pPr>
      <w:r>
        <w:rPr>
          <w:rFonts w:cs="Calibri"/>
          <w:sz w:val="40"/>
          <w:szCs w:val="40"/>
        </w:rPr>
      </w:r>
    </w:p>
    <w:p>
      <w:pPr>
        <w:pStyle w:val="Normal"/>
        <w:spacing w:lineRule="auto" w:line="240" w:before="0" w:after="0"/>
        <w:ind w:hanging="270" w:left="851"/>
        <w:jc w:val="both"/>
        <w:rPr>
          <w:rFonts w:cs="Calibri"/>
          <w:sz w:val="40"/>
          <w:szCs w:val="40"/>
        </w:rPr>
      </w:pPr>
      <w:r>
        <w:rPr>
          <w:rFonts w:cs="Calibri"/>
          <w:sz w:val="40"/>
          <w:szCs w:val="40"/>
        </w:rPr>
      </w:r>
    </w:p>
    <w:p>
      <w:pPr>
        <w:pStyle w:val="Normal"/>
        <w:spacing w:lineRule="auto" w:line="240" w:before="0" w:after="0"/>
        <w:ind w:hanging="270" w:left="851"/>
        <w:jc w:val="right"/>
        <w:rPr>
          <w:rFonts w:cs="Calibri"/>
          <w:b/>
          <w:sz w:val="44"/>
          <w:szCs w:val="40"/>
        </w:rPr>
      </w:pPr>
      <w:r>
        <w:rPr>
          <w:rFonts w:cs="Calibri"/>
          <w:b/>
          <w:sz w:val="44"/>
          <w:szCs w:val="40"/>
        </w:rPr>
        <w:t>SPECYFIKACJA TECHNICZNA</w:t>
      </w:r>
    </w:p>
    <w:p>
      <w:pPr>
        <w:pStyle w:val="Normal"/>
        <w:spacing w:lineRule="auto" w:line="240" w:before="0" w:after="0"/>
        <w:ind w:hanging="270" w:left="851"/>
        <w:jc w:val="right"/>
        <w:rPr>
          <w:rFonts w:cs="Calibri"/>
          <w:b/>
          <w:sz w:val="44"/>
          <w:szCs w:val="40"/>
        </w:rPr>
      </w:pPr>
      <w:r>
        <w:rPr>
          <w:rFonts w:cs="Calibri"/>
          <w:b/>
          <w:sz w:val="44"/>
          <w:szCs w:val="40"/>
        </w:rPr>
        <w:t>WYKONANIA I ODBIORU ROBÓT</w:t>
      </w:r>
    </w:p>
    <w:p>
      <w:pPr>
        <w:pStyle w:val="Normal"/>
        <w:spacing w:lineRule="auto" w:line="240" w:before="0" w:after="0"/>
        <w:ind w:hanging="270" w:left="851"/>
        <w:jc w:val="right"/>
        <w:rPr>
          <w:rFonts w:cs="Calibri"/>
          <w:b/>
          <w:sz w:val="40"/>
          <w:szCs w:val="40"/>
        </w:rPr>
      </w:pPr>
      <w:r>
        <w:rPr>
          <w:rFonts w:cs="Calibri"/>
          <w:b/>
          <w:sz w:val="40"/>
          <w:szCs w:val="40"/>
        </w:rPr>
      </w:r>
    </w:p>
    <w:p>
      <w:pPr>
        <w:pStyle w:val="Normal"/>
        <w:spacing w:lineRule="auto" w:line="240" w:before="0" w:after="0"/>
        <w:ind w:hanging="270" w:left="851"/>
        <w:jc w:val="right"/>
        <w:rPr>
          <w:rFonts w:cs="Calibri"/>
          <w:b/>
          <w:sz w:val="40"/>
          <w:szCs w:val="40"/>
        </w:rPr>
      </w:pPr>
      <w:r>
        <w:rPr>
          <w:rFonts w:cs="Calibri"/>
          <w:b/>
          <w:sz w:val="40"/>
          <w:szCs w:val="40"/>
        </w:rPr>
      </w:r>
    </w:p>
    <w:p>
      <w:pPr>
        <w:pStyle w:val="Normal"/>
        <w:spacing w:lineRule="auto" w:line="240" w:before="0" w:after="0"/>
        <w:ind w:hanging="270" w:left="851"/>
        <w:jc w:val="right"/>
        <w:rPr>
          <w:rFonts w:cs="Calibri"/>
          <w:b/>
          <w:sz w:val="40"/>
          <w:szCs w:val="40"/>
        </w:rPr>
      </w:pPr>
      <w:r>
        <w:rPr>
          <w:rFonts w:cs="Calibri"/>
          <w:b/>
          <w:sz w:val="40"/>
          <w:szCs w:val="40"/>
        </w:rPr>
      </w:r>
    </w:p>
    <w:p>
      <w:pPr>
        <w:pStyle w:val="Normal"/>
        <w:spacing w:lineRule="auto" w:line="240" w:before="0" w:after="0"/>
        <w:ind w:hanging="270" w:left="851"/>
        <w:jc w:val="right"/>
        <w:rPr>
          <w:rFonts w:cs="Calibri"/>
          <w:b/>
          <w:sz w:val="40"/>
          <w:szCs w:val="40"/>
        </w:rPr>
      </w:pPr>
      <w:r>
        <w:rPr>
          <w:rFonts w:cs="Calibri"/>
          <w:b/>
          <w:sz w:val="40"/>
          <w:szCs w:val="40"/>
        </w:rPr>
      </w:r>
    </w:p>
    <w:p>
      <w:pPr>
        <w:pStyle w:val="Normal"/>
        <w:spacing w:lineRule="auto" w:line="240" w:before="0" w:after="0"/>
        <w:ind w:hanging="270" w:left="851"/>
        <w:jc w:val="right"/>
        <w:rPr>
          <w:rFonts w:cs="Calibri"/>
          <w:b/>
          <w:sz w:val="28"/>
          <w:szCs w:val="28"/>
        </w:rPr>
      </w:pPr>
      <w:r>
        <w:rPr>
          <w:rFonts w:cs="Calibri"/>
          <w:b/>
          <w:sz w:val="28"/>
          <w:szCs w:val="28"/>
        </w:rPr>
        <w:t>PODBUDOWA Z KRUSZYW</w:t>
      </w:r>
    </w:p>
    <w:p>
      <w:pPr>
        <w:pStyle w:val="Normal"/>
        <w:spacing w:lineRule="auto" w:line="240" w:before="0" w:after="0"/>
        <w:ind w:hanging="270" w:left="851"/>
        <w:jc w:val="right"/>
        <w:rPr>
          <w:rFonts w:cs="Calibri"/>
          <w:b/>
          <w:sz w:val="28"/>
          <w:szCs w:val="28"/>
        </w:rPr>
      </w:pPr>
      <w:r>
        <w:rPr>
          <w:rFonts w:cs="Calibri"/>
          <w:b/>
          <w:sz w:val="28"/>
          <w:szCs w:val="28"/>
        </w:rPr>
        <w:t>WYMAGANIA OGÓLNE</w:t>
      </w:r>
    </w:p>
    <w:p>
      <w:pPr>
        <w:pStyle w:val="Normal"/>
        <w:spacing w:lineRule="auto" w:line="240" w:before="0" w:after="0"/>
        <w:ind w:hanging="270" w:left="851"/>
        <w:jc w:val="both"/>
        <w:rPr>
          <w:rFonts w:cs="Calibri"/>
          <w:sz w:val="28"/>
          <w:szCs w:val="28"/>
        </w:rPr>
      </w:pPr>
      <w:r>
        <w:rPr>
          <w:rFonts w:cs="Calibri"/>
          <w:sz w:val="28"/>
          <w:szCs w:val="28"/>
        </w:rPr>
      </w:r>
    </w:p>
    <w:p>
      <w:pPr>
        <w:pStyle w:val="Normal"/>
        <w:spacing w:lineRule="auto" w:line="240" w:before="0" w:after="0"/>
        <w:ind w:hanging="270" w:left="851"/>
        <w:jc w:val="both"/>
        <w:rPr>
          <w:rFonts w:cs="Calibri"/>
          <w:sz w:val="28"/>
          <w:szCs w:val="28"/>
        </w:rPr>
      </w:pPr>
      <w:r>
        <w:rPr>
          <w:rFonts w:cs="Calibri"/>
          <w:sz w:val="28"/>
          <w:szCs w:val="28"/>
        </w:rPr>
      </w:r>
    </w:p>
    <w:p>
      <w:pPr>
        <w:pStyle w:val="Normal"/>
        <w:spacing w:lineRule="auto" w:line="240" w:before="0" w:after="0"/>
        <w:ind w:hanging="270" w:left="851"/>
        <w:jc w:val="both"/>
        <w:rPr>
          <w:rFonts w:cs="Calibri"/>
          <w:sz w:val="20"/>
          <w:szCs w:val="20"/>
        </w:rPr>
      </w:pPr>
      <w:r>
        <w:rPr>
          <w:rFonts w:cs="Calibri"/>
          <w:sz w:val="20"/>
          <w:szCs w:val="20"/>
        </w:rPr>
      </w:r>
    </w:p>
    <w:p>
      <w:pPr>
        <w:pStyle w:val="Normal"/>
        <w:spacing w:lineRule="auto" w:line="240" w:before="0" w:after="0"/>
        <w:ind w:hanging="270" w:left="851"/>
        <w:jc w:val="both"/>
        <w:rPr>
          <w:rFonts w:cs="Calibri"/>
          <w:b/>
          <w:sz w:val="20"/>
          <w:szCs w:val="20"/>
        </w:rPr>
      </w:pPr>
      <w:r>
        <w:rPr>
          <w:rFonts w:cs="Calibri"/>
          <w:b/>
          <w:sz w:val="20"/>
          <w:szCs w:val="20"/>
        </w:rPr>
      </w:r>
    </w:p>
    <w:p>
      <w:pPr>
        <w:pStyle w:val="Normal"/>
        <w:spacing w:lineRule="auto" w:line="240" w:before="0" w:after="0"/>
        <w:ind w:hanging="270" w:left="851"/>
        <w:jc w:val="both"/>
        <w:rPr>
          <w:rFonts w:cs="Calibri"/>
          <w:b/>
          <w:sz w:val="20"/>
          <w:szCs w:val="20"/>
        </w:rPr>
      </w:pPr>
      <w:r>
        <w:rPr>
          <w:rFonts w:cs="Calibri"/>
          <w:b/>
          <w:sz w:val="20"/>
          <w:szCs w:val="20"/>
        </w:rPr>
      </w:r>
    </w:p>
    <w:p>
      <w:pPr>
        <w:pStyle w:val="Normal"/>
        <w:spacing w:lineRule="auto" w:line="240" w:before="0" w:after="0"/>
        <w:ind w:hanging="270" w:left="851"/>
        <w:jc w:val="both"/>
        <w:rPr>
          <w:rFonts w:cs="Calibri"/>
          <w:b/>
          <w:sz w:val="20"/>
          <w:szCs w:val="20"/>
        </w:rPr>
      </w:pPr>
      <w:r>
        <w:rPr>
          <w:rFonts w:cs="Calibri"/>
          <w:b/>
          <w:sz w:val="20"/>
          <w:szCs w:val="20"/>
        </w:rPr>
      </w:r>
    </w:p>
    <w:p>
      <w:pPr>
        <w:pStyle w:val="Normal"/>
        <w:spacing w:lineRule="auto" w:line="240" w:before="0" w:after="0"/>
        <w:ind w:hanging="270" w:left="851"/>
        <w:jc w:val="both"/>
        <w:rPr>
          <w:rFonts w:cs="Calibri"/>
          <w:b/>
          <w:sz w:val="20"/>
          <w:szCs w:val="20"/>
        </w:rPr>
      </w:pPr>
      <w:r>
        <w:rPr>
          <w:rFonts w:cs="Calibri"/>
          <w:b/>
          <w:sz w:val="20"/>
          <w:szCs w:val="20"/>
        </w:rPr>
      </w:r>
    </w:p>
    <w:p>
      <w:pPr>
        <w:pStyle w:val="Normal"/>
        <w:spacing w:lineRule="auto" w:line="240" w:before="0" w:after="0"/>
        <w:ind w:hanging="270" w:left="851"/>
        <w:jc w:val="both"/>
        <w:rPr>
          <w:rFonts w:cs="Calibri"/>
          <w:b/>
          <w:sz w:val="20"/>
          <w:szCs w:val="20"/>
        </w:rPr>
      </w:pPr>
      <w:r>
        <w:rPr>
          <w:rFonts w:cs="Calibri"/>
          <w:b/>
          <w:sz w:val="20"/>
          <w:szCs w:val="20"/>
        </w:rPr>
      </w:r>
    </w:p>
    <w:p>
      <w:pPr>
        <w:pStyle w:val="Normal"/>
        <w:spacing w:lineRule="auto" w:line="240" w:before="0" w:after="0"/>
        <w:ind w:hanging="270" w:left="851"/>
        <w:jc w:val="both"/>
        <w:rPr>
          <w:rFonts w:cs="Calibri"/>
          <w:b/>
          <w:sz w:val="20"/>
          <w:szCs w:val="20"/>
        </w:rPr>
      </w:pPr>
      <w:r>
        <w:rPr>
          <w:rFonts w:cs="Calibri"/>
          <w:b/>
          <w:sz w:val="20"/>
          <w:szCs w:val="20"/>
        </w:rPr>
      </w:r>
    </w:p>
    <w:p>
      <w:pPr>
        <w:pStyle w:val="Normal"/>
        <w:spacing w:lineRule="auto" w:line="240" w:before="0" w:after="0"/>
        <w:ind w:hanging="270" w:left="851"/>
        <w:jc w:val="both"/>
        <w:rPr>
          <w:rFonts w:cs="Calibri"/>
          <w:b/>
          <w:sz w:val="20"/>
          <w:szCs w:val="20"/>
        </w:rPr>
      </w:pPr>
      <w:r>
        <w:rPr>
          <w:rFonts w:cs="Calibri"/>
          <w:b/>
          <w:sz w:val="20"/>
          <w:szCs w:val="20"/>
        </w:rPr>
      </w:r>
    </w:p>
    <w:p>
      <w:pPr>
        <w:pStyle w:val="Normal"/>
        <w:spacing w:lineRule="auto" w:line="240" w:before="0" w:after="0"/>
        <w:ind w:hanging="270" w:left="851"/>
        <w:jc w:val="both"/>
        <w:rPr>
          <w:rFonts w:cs="Calibri"/>
          <w:b/>
          <w:sz w:val="20"/>
          <w:szCs w:val="20"/>
        </w:rPr>
      </w:pPr>
      <w:r>
        <w:rPr>
          <w:rFonts w:cs="Calibri"/>
          <w:b/>
          <w:sz w:val="20"/>
          <w:szCs w:val="20"/>
        </w:rPr>
      </w:r>
      <w:r>
        <w:br w:type="page"/>
      </w:r>
    </w:p>
    <w:p>
      <w:pPr>
        <w:pStyle w:val="Normal"/>
        <w:spacing w:before="0" w:after="120"/>
        <w:ind w:hanging="272" w:left="272"/>
        <w:rPr>
          <w:rFonts w:cs="Calibri"/>
          <w:b/>
          <w:sz w:val="20"/>
          <w:szCs w:val="20"/>
        </w:rPr>
      </w:pPr>
      <w:r>
        <w:rPr>
          <w:rFonts w:cs="Calibri"/>
          <w:b/>
          <w:sz w:val="20"/>
          <w:szCs w:val="20"/>
        </w:rPr>
      </w:r>
    </w:p>
    <w:p>
      <w:pPr>
        <w:pStyle w:val="Normal"/>
        <w:spacing w:before="0" w:after="120"/>
        <w:ind w:hanging="272" w:left="272"/>
        <w:rPr>
          <w:rFonts w:cs="Calibri"/>
          <w:b/>
          <w:sz w:val="20"/>
          <w:szCs w:val="20"/>
        </w:rPr>
      </w:pPr>
      <w:r>
        <w:rPr>
          <w:rFonts w:cs="Calibri"/>
          <w:b/>
          <w:sz w:val="20"/>
          <w:szCs w:val="20"/>
        </w:rPr>
      </w:r>
    </w:p>
    <w:p>
      <w:pPr>
        <w:pStyle w:val="Normal"/>
        <w:spacing w:before="0" w:after="120"/>
        <w:ind w:hanging="272" w:left="272"/>
        <w:rPr>
          <w:rFonts w:cs="Calibri"/>
          <w:b/>
          <w:sz w:val="20"/>
          <w:szCs w:val="20"/>
        </w:rPr>
      </w:pPr>
      <w:r>
        <w:rPr>
          <w:rFonts w:cs="Calibri"/>
          <w:b/>
          <w:sz w:val="20"/>
          <w:szCs w:val="20"/>
        </w:rPr>
        <w:t>1. WSTĘP</w:t>
      </w:r>
    </w:p>
    <w:p>
      <w:pPr>
        <w:pStyle w:val="Normal"/>
        <w:spacing w:lineRule="auto" w:line="240" w:before="0" w:after="0"/>
        <w:jc w:val="both"/>
        <w:rPr>
          <w:rFonts w:cs="Calibri"/>
          <w:sz w:val="20"/>
          <w:szCs w:val="20"/>
        </w:rPr>
      </w:pPr>
      <w:r>
        <w:rPr>
          <w:rFonts w:cs="Calibri"/>
          <w:sz w:val="20"/>
          <w:szCs w:val="20"/>
        </w:rPr>
        <w:t>1.1. Przedmiot STWiORB</w:t>
      </w:r>
    </w:p>
    <w:p>
      <w:pPr>
        <w:pStyle w:val="Normal"/>
        <w:spacing w:lineRule="auto" w:line="240" w:before="0" w:after="0"/>
        <w:ind w:firstLine="284" w:left="567"/>
        <w:jc w:val="both"/>
        <w:rPr>
          <w:rFonts w:cs="Calibri"/>
          <w:sz w:val="20"/>
          <w:szCs w:val="20"/>
        </w:rPr>
      </w:pPr>
      <w:r>
        <w:rPr>
          <w:rFonts w:cs="Calibri"/>
          <w:sz w:val="20"/>
          <w:szCs w:val="20"/>
        </w:rPr>
        <w:t xml:space="preserve">Przedmiotem niniejszej szczegółowej specyfikacji technicznej wykonania i odbioru robót budowlanych (STWiORB) są wymagania szczegółowe+ dotyczące wykonania i odbioru robót związanych z zadaniem </w:t>
        <w:br/>
        <w:t>pn.: „</w:t>
      </w:r>
      <w:r>
        <w:rPr>
          <w:rFonts w:cs="Calibri" w:ascii="Cambria" w:hAnsi="Cambria"/>
          <w:b/>
          <w:bCs/>
          <w:sz w:val="20"/>
          <w:szCs w:val="20"/>
        </w:rPr>
        <w:t>Remonty nawierzchni mineralno-bitumicznych dróg gminnych w 202</w:t>
      </w:r>
      <w:r>
        <w:rPr>
          <w:rFonts w:cs="Calibri" w:ascii="Cambria" w:hAnsi="Cambria"/>
          <w:b/>
          <w:bCs/>
          <w:sz w:val="20"/>
          <w:szCs w:val="20"/>
        </w:rPr>
        <w:t>6</w:t>
      </w:r>
      <w:r>
        <w:rPr>
          <w:rFonts w:cs="Calibri" w:ascii="Cambria" w:hAnsi="Cambria"/>
          <w:b/>
          <w:bCs/>
          <w:sz w:val="20"/>
          <w:szCs w:val="20"/>
        </w:rPr>
        <w:t xml:space="preserve"> roku</w:t>
      </w:r>
      <w:r>
        <w:rPr>
          <w:rFonts w:cs="Calibri"/>
          <w:sz w:val="20"/>
          <w:szCs w:val="20"/>
        </w:rPr>
        <w:t>”.. Szczegółowa specyfikacja techniczna stanowi dokument przetargowy do wykonania w/w robót.</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1.2. Zakres stosowania STWiORB</w:t>
      </w:r>
    </w:p>
    <w:p>
      <w:pPr>
        <w:pStyle w:val="Normal"/>
        <w:spacing w:lineRule="auto" w:line="240" w:before="0" w:after="0"/>
        <w:ind w:firstLine="284" w:left="567"/>
        <w:jc w:val="both"/>
        <w:rPr>
          <w:rFonts w:cs="Calibri"/>
          <w:sz w:val="20"/>
          <w:szCs w:val="20"/>
        </w:rPr>
      </w:pPr>
      <w:r>
        <w:rPr>
          <w:rFonts w:cs="Calibri"/>
          <w:sz w:val="20"/>
          <w:szCs w:val="20"/>
        </w:rPr>
        <w:t>Szczegółowa specyfikacja techniczna (SST) dokument przetargowy i kontraktowy przy zlecaniu na w/w roboty.</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1.3. Zakres robót objętych SST</w:t>
      </w:r>
    </w:p>
    <w:p>
      <w:pPr>
        <w:pStyle w:val="Normal"/>
        <w:spacing w:lineRule="auto" w:line="240" w:before="0" w:after="0"/>
        <w:ind w:firstLine="284" w:left="567"/>
        <w:jc w:val="both"/>
        <w:rPr>
          <w:rFonts w:cs="Calibri"/>
          <w:sz w:val="20"/>
          <w:szCs w:val="20"/>
        </w:rPr>
      </w:pPr>
      <w:r>
        <w:rPr>
          <w:rFonts w:cs="Calibri"/>
          <w:sz w:val="20"/>
          <w:szCs w:val="20"/>
        </w:rPr>
        <w:t xml:space="preserve">Ustalenia zawarte w niniejszej specyfikacji dotyczą zasad prowadzenia robót związanych </w:t>
        <w:br/>
        <w:t xml:space="preserve">z wykonywaniem podbudów z kruszyw stabilizowanych mechanicznie wg PN-S-06102 [21] i obejmują OST: </w:t>
        <w:br/>
        <w:t>D-04.04.02 Podbudowa z kruszywa łamanego stabilizowanego mechanicznie,</w:t>
      </w:r>
    </w:p>
    <w:p>
      <w:pPr>
        <w:pStyle w:val="Normal"/>
        <w:spacing w:lineRule="auto" w:line="240" w:before="0" w:after="0"/>
        <w:ind w:firstLine="284" w:left="567"/>
        <w:jc w:val="both"/>
        <w:rPr>
          <w:rFonts w:cs="Calibri"/>
          <w:sz w:val="20"/>
          <w:szCs w:val="20"/>
        </w:rPr>
      </w:pPr>
      <w:r>
        <w:rPr>
          <w:rFonts w:cs="Calibri"/>
          <w:sz w:val="20"/>
          <w:szCs w:val="20"/>
        </w:rPr>
        <w:t xml:space="preserve">Podbudowę z kruszyw stabilizowanych mechanicznie wykonuje się, zgodnie z ustaleniami podanymi </w:t>
        <w:br/>
        <w:t>w dokumentacji projektowej, jako podbudowę pomocniczą i podbudowę zasadniczą wg Katalogu typowych konstrukcji nawierzchni podatnych i półsztywnych [31].</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1.4. Określenia podstawowe</w:t>
      </w:r>
    </w:p>
    <w:p>
      <w:pPr>
        <w:pStyle w:val="Normal"/>
        <w:spacing w:lineRule="auto" w:line="240" w:before="0" w:after="0"/>
        <w:ind w:hanging="567" w:left="1134"/>
        <w:jc w:val="both"/>
        <w:rPr>
          <w:rFonts w:cs="Calibri"/>
          <w:sz w:val="20"/>
          <w:szCs w:val="20"/>
        </w:rPr>
      </w:pPr>
      <w:r>
        <w:rPr>
          <w:rFonts w:cs="Calibri"/>
          <w:sz w:val="20"/>
          <w:szCs w:val="20"/>
        </w:rPr>
      </w:r>
    </w:p>
    <w:p>
      <w:pPr>
        <w:pStyle w:val="Normal"/>
        <w:spacing w:lineRule="auto" w:line="240" w:before="0" w:after="0"/>
        <w:ind w:hanging="567" w:left="1134"/>
        <w:jc w:val="both"/>
        <w:rPr>
          <w:rFonts w:cs="Calibri"/>
          <w:sz w:val="20"/>
          <w:szCs w:val="20"/>
        </w:rPr>
      </w:pPr>
      <w:r>
        <w:rPr>
          <w:rFonts w:cs="Calibri"/>
          <w:sz w:val="20"/>
          <w:szCs w:val="20"/>
        </w:rPr>
        <w:t xml:space="preserve">1.4.1. Stabilizacja mechaniczna - proces technologiczny, polegający na odpowiednim zagęszczeniu </w:t>
        <w:br/>
        <w:t>w optymalnej wilgotności kruszywa o właściwie dobranym uziarnieniu.</w:t>
      </w:r>
    </w:p>
    <w:p>
      <w:pPr>
        <w:pStyle w:val="Normal"/>
        <w:spacing w:lineRule="auto" w:line="240" w:before="0" w:after="0"/>
        <w:ind w:hanging="567" w:left="1134"/>
        <w:jc w:val="both"/>
        <w:rPr>
          <w:rFonts w:cs="Calibri"/>
          <w:sz w:val="20"/>
          <w:szCs w:val="20"/>
        </w:rPr>
      </w:pPr>
      <w:r>
        <w:rPr>
          <w:rFonts w:cs="Calibri"/>
          <w:sz w:val="20"/>
          <w:szCs w:val="20"/>
        </w:rPr>
      </w:r>
    </w:p>
    <w:p>
      <w:pPr>
        <w:pStyle w:val="Normal"/>
        <w:spacing w:lineRule="auto" w:line="240" w:before="0" w:after="0"/>
        <w:ind w:hanging="567" w:left="1134"/>
        <w:jc w:val="both"/>
        <w:rPr>
          <w:rFonts w:cs="Calibri"/>
          <w:sz w:val="20"/>
          <w:szCs w:val="20"/>
        </w:rPr>
      </w:pPr>
      <w:r>
        <w:rPr>
          <w:rFonts w:cs="Calibri"/>
          <w:sz w:val="20"/>
          <w:szCs w:val="20"/>
        </w:rPr>
        <w:t>1.4.2. Pozostałe określenia podstawowe są zgodne z obowiązującymi, odpowiednimi polskimi normami oraz z definicjami podanymi w OST D-M-00.00.00 „Wymagania ogólne” pkt 1.4 oraz w OST dotyczących poszczególnych rodzajów podbudów z kruszyw stabilizowanych mechanicznie: D-04.04.02 Podbudowa z kruszywa łamanego stabilizowanego mechanicznie.</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1.5. Ogólne wymagania dotyczące robót</w:t>
      </w:r>
    </w:p>
    <w:p>
      <w:pPr>
        <w:pStyle w:val="Normal"/>
        <w:spacing w:lineRule="auto" w:line="240" w:before="0" w:after="0"/>
        <w:ind w:hanging="567" w:left="1134"/>
        <w:jc w:val="both"/>
        <w:rPr>
          <w:rFonts w:cs="Calibri"/>
          <w:sz w:val="20"/>
          <w:szCs w:val="20"/>
        </w:rPr>
      </w:pPr>
      <w:r>
        <w:rPr>
          <w:rFonts w:cs="Calibri"/>
          <w:sz w:val="20"/>
          <w:szCs w:val="20"/>
        </w:rPr>
        <w:t>Ogólne wymagania dotyczące robót podano w OST D-M-00.00.00 „Wymagania ogólne” pkt 1.5.</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2. MATERIAŁY</w:t>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sz w:val="20"/>
          <w:szCs w:val="20"/>
        </w:rPr>
      </w:pPr>
      <w:r>
        <w:rPr>
          <w:rFonts w:cs="Calibri"/>
          <w:sz w:val="20"/>
          <w:szCs w:val="20"/>
        </w:rPr>
        <w:t>2.1. Ogólne wymagania dotyczące materiałów</w:t>
      </w:r>
    </w:p>
    <w:p>
      <w:pPr>
        <w:pStyle w:val="Normal"/>
        <w:spacing w:lineRule="auto" w:line="240" w:before="0" w:after="0"/>
        <w:ind w:firstLine="284" w:left="567"/>
        <w:jc w:val="both"/>
        <w:rPr>
          <w:rFonts w:cs="Calibri"/>
          <w:sz w:val="20"/>
          <w:szCs w:val="20"/>
        </w:rPr>
      </w:pPr>
      <w:r>
        <w:rPr>
          <w:rFonts w:cs="Calibri"/>
          <w:sz w:val="20"/>
          <w:szCs w:val="20"/>
        </w:rPr>
        <w:t>Ogólne wymagania dotyczące materiałów, ich pozyskiwania i składowania, podano w OST: D-M-00.00.00 „Wymagania ogólne” pkt 2.</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2.2. Rodzaje materiałów</w:t>
      </w:r>
    </w:p>
    <w:p>
      <w:pPr>
        <w:pStyle w:val="Normal"/>
        <w:spacing w:lineRule="auto" w:line="240" w:before="0" w:after="0"/>
        <w:ind w:firstLine="284" w:left="567"/>
        <w:jc w:val="both"/>
        <w:rPr>
          <w:rFonts w:cs="Calibri"/>
          <w:sz w:val="20"/>
          <w:szCs w:val="20"/>
        </w:rPr>
      </w:pPr>
      <w:r>
        <w:rPr>
          <w:rFonts w:cs="Calibri"/>
          <w:sz w:val="20"/>
          <w:szCs w:val="20"/>
        </w:rPr>
        <w:t>Materiały stosowane do wykonania podbudów z kruszyw stabilizowanych mechanicznie podano w OST dotyczących poszczególnych rodzajów podbudów: D-04.04.02 Podbudowa z kruszywa łamanego stabilizowanego mechanicznie,</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2.3. Wymagania dla materiałów</w:t>
      </w:r>
    </w:p>
    <w:p>
      <w:pPr>
        <w:pStyle w:val="Normal"/>
        <w:spacing w:lineRule="auto" w:line="240" w:before="0" w:after="0"/>
        <w:ind w:left="567"/>
        <w:jc w:val="both"/>
        <w:rPr>
          <w:rFonts w:cs="Calibri"/>
          <w:sz w:val="20"/>
          <w:szCs w:val="20"/>
        </w:rPr>
      </w:pPr>
      <w:r>
        <w:rPr>
          <w:rFonts w:cs="Calibri"/>
          <w:sz w:val="20"/>
          <w:szCs w:val="20"/>
        </w:rPr>
        <w:t>2.3.1. Uziarnienie kruszywa</w:t>
      </w:r>
    </w:p>
    <w:p>
      <w:pPr>
        <w:pStyle w:val="Normal"/>
        <w:spacing w:lineRule="auto" w:line="240" w:before="0" w:after="0"/>
        <w:ind w:firstLine="284" w:left="567"/>
        <w:jc w:val="both"/>
        <w:rPr>
          <w:rFonts w:cs="Calibri"/>
          <w:sz w:val="20"/>
          <w:szCs w:val="20"/>
        </w:rPr>
      </w:pPr>
      <w:r>
        <w:rPr>
          <w:rFonts w:cs="Calibri"/>
          <w:sz w:val="20"/>
          <w:szCs w:val="20"/>
        </w:rPr>
        <w:t>Krzywa uziarnienia kruszywa, określona według PN-B-06714-15 [3] powinna leżećmiędzy krzywymi granicznymi pól dobrego uziarnienia podanymi na rysunku 1.</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567"/>
        <w:jc w:val="both"/>
        <w:rPr>
          <w:rFonts w:cs="Calibri"/>
          <w:i/>
          <w:i/>
          <w:sz w:val="14"/>
          <w:szCs w:val="20"/>
        </w:rPr>
      </w:pPr>
      <w:r>
        <w:rPr>
          <w:rFonts w:cs="Calibri"/>
          <w:i/>
          <w:sz w:val="14"/>
          <w:szCs w:val="20"/>
        </w:rPr>
      </w:r>
    </w:p>
    <w:p>
      <w:pPr>
        <w:pStyle w:val="Normal"/>
        <w:spacing w:lineRule="auto" w:line="240" w:before="0" w:after="0"/>
        <w:ind w:left="567"/>
        <w:jc w:val="both"/>
        <w:rPr>
          <w:rFonts w:cs="Calibri"/>
          <w:i/>
          <w:i/>
          <w:sz w:val="14"/>
          <w:szCs w:val="20"/>
        </w:rPr>
      </w:pPr>
      <w:r>
        <w:rPr>
          <w:rFonts w:cs="Calibri"/>
          <w:i/>
          <w:sz w:val="14"/>
          <w:szCs w:val="20"/>
        </w:rPr>
      </w:r>
    </w:p>
    <w:p>
      <w:pPr>
        <w:pStyle w:val="Normal"/>
        <w:spacing w:lineRule="auto" w:line="240" w:before="0" w:after="0"/>
        <w:ind w:left="567"/>
        <w:jc w:val="both"/>
        <w:rPr>
          <w:rFonts w:cs="Calibri"/>
          <w:i/>
          <w:i/>
          <w:sz w:val="14"/>
          <w:szCs w:val="20"/>
        </w:rPr>
      </w:pPr>
      <w:r>
        <w:rPr>
          <w:rFonts w:cs="Calibri"/>
          <w:i/>
          <w:sz w:val="14"/>
          <w:szCs w:val="20"/>
        </w:rPr>
      </w:r>
    </w:p>
    <w:p>
      <w:pPr>
        <w:pStyle w:val="Normal"/>
        <w:spacing w:lineRule="auto" w:line="240" w:before="0" w:after="0"/>
        <w:ind w:left="567"/>
        <w:jc w:val="both"/>
        <w:rPr>
          <w:rFonts w:cs="Calibri"/>
          <w:i/>
          <w:i/>
          <w:sz w:val="14"/>
          <w:szCs w:val="20"/>
        </w:rPr>
      </w:pPr>
      <w:r>
        <w:rPr>
          <w:rFonts w:cs="Calibri"/>
          <w:i/>
          <w:sz w:val="14"/>
          <w:szCs w:val="20"/>
        </w:rPr>
      </w:r>
    </w:p>
    <w:p>
      <w:pPr>
        <w:pStyle w:val="Normal"/>
        <w:spacing w:lineRule="auto" w:line="240" w:before="0" w:after="0"/>
        <w:ind w:left="567"/>
        <w:jc w:val="both"/>
        <w:rPr>
          <w:rFonts w:cs="Calibri"/>
          <w:i/>
          <w:i/>
          <w:sz w:val="14"/>
          <w:szCs w:val="20"/>
        </w:rPr>
      </w:pPr>
      <w:r>
        <w:rPr>
          <w:rFonts w:cs="Calibri"/>
          <w:i/>
          <w:sz w:val="14"/>
          <w:szCs w:val="20"/>
        </w:rPr>
      </w:r>
    </w:p>
    <w:p>
      <w:pPr>
        <w:pStyle w:val="Normal"/>
        <w:spacing w:lineRule="auto" w:line="240" w:before="0" w:after="0"/>
        <w:ind w:left="567"/>
        <w:jc w:val="both"/>
        <w:rPr>
          <w:rFonts w:cs="Calibri"/>
          <w:i/>
          <w:i/>
          <w:sz w:val="14"/>
          <w:szCs w:val="20"/>
        </w:rPr>
      </w:pPr>
      <w:r>
        <w:rPr>
          <w:rFonts w:cs="Calibri"/>
          <w:i/>
          <w:sz w:val="14"/>
          <w:szCs w:val="20"/>
        </w:rPr>
      </w:r>
    </w:p>
    <w:p>
      <w:pPr>
        <w:pStyle w:val="Normal"/>
        <w:spacing w:lineRule="auto" w:line="240" w:before="0" w:after="0"/>
        <w:ind w:left="567"/>
        <w:jc w:val="both"/>
        <w:rPr>
          <w:rFonts w:cs="Calibri"/>
          <w:i/>
          <w:i/>
          <w:sz w:val="14"/>
          <w:szCs w:val="20"/>
        </w:rPr>
      </w:pPr>
      <w:r>
        <w:rPr>
          <w:rFonts w:cs="Calibri"/>
          <w:i/>
          <w:sz w:val="14"/>
          <w:szCs w:val="20"/>
        </w:rPr>
      </w:r>
    </w:p>
    <w:p>
      <w:pPr>
        <w:pStyle w:val="Normal"/>
        <w:spacing w:lineRule="auto" w:line="240" w:before="0" w:after="0"/>
        <w:ind w:left="567"/>
        <w:jc w:val="both"/>
        <w:rPr>
          <w:rFonts w:cs="Calibri"/>
          <w:i/>
          <w:i/>
          <w:sz w:val="14"/>
          <w:szCs w:val="20"/>
        </w:rPr>
      </w:pPr>
      <w:r>
        <w:rPr>
          <w:rFonts w:cs="Calibri"/>
          <w:i/>
          <w:sz w:val="14"/>
          <w:szCs w:val="20"/>
        </w:rPr>
      </w:r>
    </w:p>
    <w:p>
      <w:pPr>
        <w:pStyle w:val="Normal"/>
        <w:spacing w:lineRule="auto" w:line="240" w:before="0" w:after="0"/>
        <w:jc w:val="center"/>
        <w:rPr>
          <w:rFonts w:cs="Calibri"/>
          <w:i/>
          <w:i/>
          <w:sz w:val="14"/>
          <w:szCs w:val="20"/>
        </w:rPr>
      </w:pPr>
      <w:r>
        <w:rPr/>
        <w:drawing>
          <wp:inline distT="0" distB="0" distL="0" distR="0">
            <wp:extent cx="4600575" cy="3009900"/>
            <wp:effectExtent l="0" t="0" r="0" b="0"/>
            <wp:docPr id="1" name="Obraz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descr=""/>
                    <pic:cNvPicPr>
                      <a:picLocks noChangeAspect="1" noChangeArrowheads="1"/>
                    </pic:cNvPicPr>
                  </pic:nvPicPr>
                  <pic:blipFill>
                    <a:blip r:embed="rId2"/>
                    <a:stretch>
                      <a:fillRect/>
                    </a:stretch>
                  </pic:blipFill>
                  <pic:spPr bwMode="auto">
                    <a:xfrm>
                      <a:off x="0" y="0"/>
                      <a:ext cx="4600575" cy="3009900"/>
                    </a:xfrm>
                    <a:prstGeom prst="rect">
                      <a:avLst/>
                    </a:prstGeom>
                  </pic:spPr>
                </pic:pic>
              </a:graphicData>
            </a:graphic>
          </wp:inline>
        </w:drawing>
      </w:r>
    </w:p>
    <w:p>
      <w:pPr>
        <w:pStyle w:val="Normal"/>
        <w:spacing w:lineRule="auto" w:line="240" w:before="0" w:after="0"/>
        <w:jc w:val="both"/>
        <w:rPr>
          <w:rFonts w:cs="Calibri"/>
          <w:i/>
          <w:i/>
          <w:sz w:val="14"/>
          <w:szCs w:val="20"/>
        </w:rPr>
      </w:pPr>
      <w:r>
        <w:rPr>
          <w:rFonts w:cs="Calibri"/>
          <w:i/>
          <w:sz w:val="14"/>
          <w:szCs w:val="20"/>
        </w:rPr>
      </w:r>
    </w:p>
    <w:p>
      <w:pPr>
        <w:pStyle w:val="Normal"/>
        <w:spacing w:lineRule="auto" w:line="240" w:before="0" w:after="0"/>
        <w:ind w:hanging="709" w:left="709"/>
        <w:jc w:val="both"/>
        <w:rPr>
          <w:rFonts w:cs="Calibri"/>
          <w:i/>
          <w:i/>
          <w:sz w:val="14"/>
          <w:szCs w:val="20"/>
        </w:rPr>
      </w:pPr>
      <w:r>
        <w:rPr>
          <w:rFonts w:cs="Calibri"/>
          <w:i/>
          <w:sz w:val="14"/>
          <w:szCs w:val="20"/>
        </w:rPr>
        <w:t>Rysunek 1. Pole dobrego uziarnienia kruszyw przeznaczonych na podbudowy wykonywane metodą stabilizacji mechanicznej.</w:t>
      </w:r>
    </w:p>
    <w:p>
      <w:pPr>
        <w:pStyle w:val="Normal"/>
        <w:spacing w:lineRule="auto" w:line="240" w:before="0" w:after="0"/>
        <w:ind w:hanging="1" w:left="658"/>
        <w:jc w:val="both"/>
        <w:rPr>
          <w:rFonts w:cs="Calibri"/>
          <w:i/>
          <w:i/>
          <w:sz w:val="14"/>
          <w:szCs w:val="20"/>
        </w:rPr>
      </w:pPr>
      <w:r>
        <w:rPr>
          <w:rFonts w:cs="Calibri"/>
          <w:i/>
          <w:sz w:val="14"/>
          <w:szCs w:val="20"/>
        </w:rPr>
        <w:t>1-2 kruszywo na podbudowę zasadniczą (górną warstwę) lub podbudowę jednowarstwową,</w:t>
      </w:r>
    </w:p>
    <w:p>
      <w:pPr>
        <w:pStyle w:val="Normal"/>
        <w:spacing w:lineRule="auto" w:line="240" w:before="0" w:after="0"/>
        <w:ind w:hanging="1" w:left="658"/>
        <w:jc w:val="both"/>
        <w:rPr>
          <w:rFonts w:cs="Calibri"/>
          <w:i/>
          <w:i/>
          <w:sz w:val="14"/>
          <w:szCs w:val="20"/>
        </w:rPr>
      </w:pPr>
      <w:r>
        <w:rPr>
          <w:rFonts w:cs="Calibri"/>
          <w:i/>
          <w:sz w:val="14"/>
          <w:szCs w:val="20"/>
        </w:rPr>
        <w:t>1-3 kruszywo na podbudowę pomocniczą (dolną warstwę),</w:t>
      </w:r>
    </w:p>
    <w:p>
      <w:pPr>
        <w:pStyle w:val="Normal"/>
        <w:spacing w:lineRule="auto" w:line="240" w:before="0" w:after="0"/>
        <w:ind w:hanging="1" w:left="658"/>
        <w:jc w:val="both"/>
        <w:rPr>
          <w:rFonts w:cs="Calibri"/>
          <w:i/>
          <w:i/>
          <w:sz w:val="14"/>
          <w:szCs w:val="20"/>
        </w:rPr>
      </w:pPr>
      <w:r>
        <w:rPr>
          <w:rFonts w:cs="Calibri"/>
          <w:i/>
          <w:sz w:val="14"/>
          <w:szCs w:val="20"/>
        </w:rP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567"/>
        <w:jc w:val="both"/>
        <w:rPr>
          <w:rFonts w:cs="Calibri"/>
          <w:sz w:val="20"/>
          <w:szCs w:val="20"/>
        </w:rPr>
      </w:pPr>
      <w:r>
        <w:rPr>
          <w:rFonts w:cs="Calibri"/>
          <w:sz w:val="20"/>
          <w:szCs w:val="20"/>
        </w:rPr>
        <w:t>2.3.2. Właściwości kruszywa</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firstLine="284" w:left="567"/>
        <w:jc w:val="both"/>
        <w:rPr>
          <w:rFonts w:cs="Calibri"/>
          <w:sz w:val="20"/>
          <w:szCs w:val="20"/>
        </w:rPr>
      </w:pPr>
      <w:r>
        <w:rPr>
          <w:rFonts w:cs="Calibri"/>
          <w:sz w:val="20"/>
          <w:szCs w:val="20"/>
        </w:rPr>
        <w:t>Kruszywa powinny spełniać wymagania określone w Tablicy 1.</w:t>
      </w:r>
    </w:p>
    <w:p>
      <w:pPr>
        <w:pStyle w:val="Normal"/>
        <w:spacing w:lineRule="auto" w:line="240" w:before="0" w:after="0"/>
        <w:ind w:firstLine="284" w:left="567"/>
        <w:jc w:val="both"/>
        <w:rPr>
          <w:rFonts w:cs="Calibri"/>
          <w:i/>
          <w:i/>
          <w:sz w:val="16"/>
          <w:szCs w:val="20"/>
        </w:rPr>
      </w:pPr>
      <w:r>
        <w:rPr>
          <w:rFonts w:cs="Calibri"/>
          <w:i/>
          <w:sz w:val="16"/>
          <w:szCs w:val="20"/>
        </w:rPr>
        <w:t>Tablica 1.</w:t>
      </w:r>
    </w:p>
    <w:p>
      <w:pPr>
        <w:pStyle w:val="Normal"/>
        <w:spacing w:lineRule="auto" w:line="240" w:before="0" w:after="0"/>
        <w:ind w:firstLine="284" w:left="567"/>
        <w:jc w:val="both"/>
        <w:rPr>
          <w:rFonts w:cs="Calibri"/>
          <w:i/>
          <w:i/>
          <w:sz w:val="16"/>
          <w:szCs w:val="20"/>
        </w:rPr>
      </w:pPr>
      <w:r>
        <w:rPr>
          <w:rFonts w:cs="Calibri"/>
          <w:i/>
          <w:sz w:val="16"/>
          <w:szCs w:val="20"/>
        </w:rPr>
      </w:r>
    </w:p>
    <w:tbl>
      <w:tblPr>
        <w:tblW w:w="10015" w:type="dxa"/>
        <w:jc w:val="center"/>
        <w:tblInd w:w="0" w:type="dxa"/>
        <w:tblLayout w:type="fixed"/>
        <w:tblCellMar>
          <w:top w:w="0" w:type="dxa"/>
          <w:left w:w="108" w:type="dxa"/>
          <w:bottom w:w="0" w:type="dxa"/>
          <w:right w:w="108" w:type="dxa"/>
        </w:tblCellMar>
        <w:tblLook w:val="00a0"/>
      </w:tblPr>
      <w:tblGrid>
        <w:gridCol w:w="404"/>
        <w:gridCol w:w="2572"/>
        <w:gridCol w:w="907"/>
        <w:gridCol w:w="994"/>
        <w:gridCol w:w="921"/>
        <w:gridCol w:w="1007"/>
        <w:gridCol w:w="907"/>
        <w:gridCol w:w="997"/>
        <w:gridCol w:w="1305"/>
      </w:tblGrid>
      <w:tr>
        <w:trPr/>
        <w:tc>
          <w:tcPr>
            <w:tcW w:w="404" w:type="dxa"/>
            <w:vMerge w:val="restart"/>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Lp.</w:t>
            </w:r>
          </w:p>
        </w:tc>
        <w:tc>
          <w:tcPr>
            <w:tcW w:w="2572" w:type="dxa"/>
            <w:vMerge w:val="restart"/>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Wyszczególnienie właściwości</w:t>
            </w:r>
          </w:p>
        </w:tc>
        <w:tc>
          <w:tcPr>
            <w:tcW w:w="5733" w:type="dxa"/>
            <w:gridSpan w:val="6"/>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Wymagania</w:t>
            </w:r>
          </w:p>
        </w:tc>
        <w:tc>
          <w:tcPr>
            <w:tcW w:w="1305" w:type="dxa"/>
            <w:vMerge w:val="restart"/>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Badania według</w:t>
            </w:r>
          </w:p>
        </w:tc>
      </w:tr>
      <w:tr>
        <w:trPr/>
        <w:tc>
          <w:tcPr>
            <w:tcW w:w="404"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r>
          </w:p>
        </w:tc>
        <w:tc>
          <w:tcPr>
            <w:tcW w:w="2572"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r>
          </w:p>
        </w:tc>
        <w:tc>
          <w:tcPr>
            <w:tcW w:w="1901" w:type="dxa"/>
            <w:gridSpan w:val="2"/>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Kruszywa naturalne</w:t>
            </w:r>
          </w:p>
        </w:tc>
        <w:tc>
          <w:tcPr>
            <w:tcW w:w="1928" w:type="dxa"/>
            <w:gridSpan w:val="2"/>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Kruszywa łamane</w:t>
            </w:r>
          </w:p>
        </w:tc>
        <w:tc>
          <w:tcPr>
            <w:tcW w:w="1904" w:type="dxa"/>
            <w:gridSpan w:val="2"/>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Żużel</w:t>
            </w:r>
          </w:p>
        </w:tc>
        <w:tc>
          <w:tcPr>
            <w:tcW w:w="1305"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r>
          </w:p>
        </w:tc>
      </w:tr>
      <w:tr>
        <w:trPr/>
        <w:tc>
          <w:tcPr>
            <w:tcW w:w="404"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r>
          </w:p>
        </w:tc>
        <w:tc>
          <w:tcPr>
            <w:tcW w:w="2572"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r>
          </w:p>
        </w:tc>
        <w:tc>
          <w:tcPr>
            <w:tcW w:w="5733" w:type="dxa"/>
            <w:gridSpan w:val="6"/>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Podbudowa</w:t>
            </w:r>
          </w:p>
        </w:tc>
        <w:tc>
          <w:tcPr>
            <w:tcW w:w="1305"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r>
          </w:p>
        </w:tc>
      </w:tr>
      <w:tr>
        <w:trPr/>
        <w:tc>
          <w:tcPr>
            <w:tcW w:w="404"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r>
          </w:p>
        </w:tc>
        <w:tc>
          <w:tcPr>
            <w:tcW w:w="2572"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r>
          </w:p>
        </w:tc>
        <w:tc>
          <w:tcPr>
            <w:tcW w:w="907"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zasadnicza</w:t>
            </w:r>
          </w:p>
        </w:tc>
        <w:tc>
          <w:tcPr>
            <w:tcW w:w="994"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pomocnicza</w:t>
            </w:r>
          </w:p>
        </w:tc>
        <w:tc>
          <w:tcPr>
            <w:tcW w:w="921"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b/>
                <w:sz w:val="16"/>
                <w:szCs w:val="18"/>
              </w:rPr>
            </w:pPr>
            <w:r>
              <w:rPr>
                <w:rFonts w:cs="Calibri"/>
                <w:b/>
                <w:sz w:val="16"/>
                <w:szCs w:val="18"/>
              </w:rPr>
              <w:t>zasadnicza</w:t>
            </w:r>
          </w:p>
        </w:tc>
        <w:tc>
          <w:tcPr>
            <w:tcW w:w="1007"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b/>
                <w:sz w:val="16"/>
                <w:szCs w:val="18"/>
              </w:rPr>
            </w:pPr>
            <w:r>
              <w:rPr>
                <w:rFonts w:cs="Calibri"/>
                <w:b/>
                <w:sz w:val="16"/>
                <w:szCs w:val="18"/>
              </w:rPr>
              <w:t>pomocnicza</w:t>
            </w:r>
          </w:p>
        </w:tc>
        <w:tc>
          <w:tcPr>
            <w:tcW w:w="907"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zasadnicza</w:t>
            </w:r>
          </w:p>
        </w:tc>
        <w:tc>
          <w:tcPr>
            <w:tcW w:w="997"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pomocnicza</w:t>
            </w:r>
          </w:p>
        </w:tc>
        <w:tc>
          <w:tcPr>
            <w:tcW w:w="1305"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r>
          </w:p>
        </w:tc>
      </w:tr>
      <w:tr>
        <w:trPr/>
        <w:tc>
          <w:tcPr>
            <w:tcW w:w="404" w:type="dxa"/>
            <w:tcBorders>
              <w:top w:val="doub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8"/>
              </w:rPr>
            </w:pPr>
            <w:r>
              <w:rPr>
                <w:rFonts w:cs="Calibri"/>
                <w:sz w:val="16"/>
                <w:szCs w:val="18"/>
              </w:rPr>
              <w:t>1</w:t>
            </w:r>
          </w:p>
        </w:tc>
        <w:tc>
          <w:tcPr>
            <w:tcW w:w="2572"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8"/>
              </w:rPr>
            </w:pPr>
            <w:r>
              <w:rPr>
                <w:rFonts w:cs="Calibri"/>
                <w:sz w:val="14"/>
                <w:szCs w:val="18"/>
              </w:rPr>
              <w:t xml:space="preserve">Zawartość ziaren mniejszych </w:t>
              <w:br/>
              <w:t>niż 0,075 mm, % (n/m)</w:t>
            </w:r>
          </w:p>
        </w:tc>
        <w:tc>
          <w:tcPr>
            <w:tcW w:w="907"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od 2 do 10</w:t>
            </w:r>
          </w:p>
        </w:tc>
        <w:tc>
          <w:tcPr>
            <w:tcW w:w="994"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od 2 do 12</w:t>
            </w:r>
          </w:p>
        </w:tc>
        <w:tc>
          <w:tcPr>
            <w:tcW w:w="921"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od 2 do 10</w:t>
            </w:r>
          </w:p>
        </w:tc>
        <w:tc>
          <w:tcPr>
            <w:tcW w:w="1007"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od 2 do 12</w:t>
            </w:r>
          </w:p>
        </w:tc>
        <w:tc>
          <w:tcPr>
            <w:tcW w:w="907"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od 2 do 10</w:t>
            </w:r>
          </w:p>
        </w:tc>
        <w:tc>
          <w:tcPr>
            <w:tcW w:w="997"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od 2 do 12</w:t>
            </w:r>
          </w:p>
        </w:tc>
        <w:tc>
          <w:tcPr>
            <w:tcW w:w="1305" w:type="dxa"/>
            <w:tcBorders>
              <w:top w:val="doub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3"/>
                <w:szCs w:val="13"/>
              </w:rPr>
            </w:pPr>
            <w:r>
              <w:rPr>
                <w:rFonts w:cs="Calibri"/>
                <w:sz w:val="13"/>
                <w:szCs w:val="13"/>
              </w:rPr>
              <w:t>PN-B-06714-15 [3]</w:t>
            </w:r>
          </w:p>
        </w:tc>
      </w:tr>
      <w:tr>
        <w:trPr/>
        <w:tc>
          <w:tcPr>
            <w:tcW w:w="404"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8"/>
              </w:rPr>
            </w:pPr>
            <w:r>
              <w:rPr>
                <w:rFonts w:cs="Calibri"/>
                <w:sz w:val="16"/>
                <w:szCs w:val="18"/>
              </w:rPr>
              <w:t>2</w:t>
            </w:r>
          </w:p>
        </w:tc>
        <w:tc>
          <w:tcPr>
            <w:tcW w:w="257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8"/>
              </w:rPr>
            </w:pPr>
            <w:r>
              <w:rPr>
                <w:rFonts w:cs="Calibri"/>
                <w:sz w:val="14"/>
                <w:szCs w:val="18"/>
              </w:rPr>
              <w:t xml:space="preserve">Zawartość nadziarna </w:t>
              <w:br/>
              <w:t>% (n/m), nie więcej niż</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5</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10</w:t>
            </w:r>
          </w:p>
        </w:tc>
        <w:tc>
          <w:tcPr>
            <w:tcW w:w="9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5</w:t>
            </w:r>
          </w:p>
        </w:tc>
        <w:tc>
          <w:tcPr>
            <w:tcW w:w="10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10</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5</w:t>
            </w:r>
          </w:p>
        </w:tc>
        <w:tc>
          <w:tcPr>
            <w:tcW w:w="99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10</w:t>
            </w:r>
          </w:p>
        </w:tc>
        <w:tc>
          <w:tcPr>
            <w:tcW w:w="1305"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3"/>
                <w:szCs w:val="13"/>
              </w:rPr>
            </w:pPr>
            <w:r>
              <w:rPr>
                <w:rFonts w:cs="Calibri"/>
                <w:sz w:val="13"/>
                <w:szCs w:val="13"/>
              </w:rPr>
              <w:t>PN-B-06714-15 [3]</w:t>
            </w:r>
          </w:p>
        </w:tc>
      </w:tr>
      <w:tr>
        <w:trPr/>
        <w:tc>
          <w:tcPr>
            <w:tcW w:w="404"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8"/>
              </w:rPr>
            </w:pPr>
            <w:r>
              <w:rPr>
                <w:rFonts w:cs="Calibri"/>
                <w:sz w:val="16"/>
                <w:szCs w:val="18"/>
              </w:rPr>
              <w:t>3</w:t>
            </w:r>
          </w:p>
        </w:tc>
        <w:tc>
          <w:tcPr>
            <w:tcW w:w="257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8"/>
              </w:rPr>
            </w:pPr>
            <w:r>
              <w:rPr>
                <w:rFonts w:cs="Calibri"/>
                <w:sz w:val="14"/>
                <w:szCs w:val="18"/>
              </w:rPr>
              <w:t xml:space="preserve">Zawartość ziaren nieforemnych, </w:t>
              <w:br/>
              <w:t>% (n/m), nie więcej niż</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35</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34</w:t>
            </w:r>
          </w:p>
        </w:tc>
        <w:tc>
          <w:tcPr>
            <w:tcW w:w="9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35</w:t>
            </w:r>
          </w:p>
        </w:tc>
        <w:tc>
          <w:tcPr>
            <w:tcW w:w="10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45</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35</w:t>
            </w:r>
          </w:p>
        </w:tc>
        <w:tc>
          <w:tcPr>
            <w:tcW w:w="99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45</w:t>
            </w:r>
          </w:p>
        </w:tc>
        <w:tc>
          <w:tcPr>
            <w:tcW w:w="1305"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3"/>
                <w:szCs w:val="13"/>
              </w:rPr>
            </w:pPr>
            <w:r>
              <w:rPr>
                <w:rFonts w:cs="Calibri"/>
                <w:sz w:val="13"/>
                <w:szCs w:val="13"/>
              </w:rPr>
              <w:t>PN-B-06714-16 [4]</w:t>
            </w:r>
          </w:p>
        </w:tc>
      </w:tr>
      <w:tr>
        <w:trPr/>
        <w:tc>
          <w:tcPr>
            <w:tcW w:w="404"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8"/>
              </w:rPr>
            </w:pPr>
            <w:r>
              <w:rPr>
                <w:rFonts w:cs="Calibri"/>
                <w:sz w:val="16"/>
                <w:szCs w:val="18"/>
              </w:rPr>
              <w:t>4</w:t>
            </w:r>
          </w:p>
        </w:tc>
        <w:tc>
          <w:tcPr>
            <w:tcW w:w="257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8"/>
              </w:rPr>
            </w:pPr>
            <w:r>
              <w:rPr>
                <w:rFonts w:cs="Calibri"/>
                <w:sz w:val="14"/>
                <w:szCs w:val="18"/>
              </w:rPr>
              <w:t xml:space="preserve">Zawartość zanieczyszczeń organicznych, </w:t>
              <w:br/>
              <w:t>% (n/m), nie więcej niż</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w:t>
            </w:r>
          </w:p>
        </w:tc>
        <w:tc>
          <w:tcPr>
            <w:tcW w:w="9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1</w:t>
            </w:r>
          </w:p>
        </w:tc>
        <w:tc>
          <w:tcPr>
            <w:tcW w:w="10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1</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w:t>
            </w:r>
          </w:p>
        </w:tc>
        <w:tc>
          <w:tcPr>
            <w:tcW w:w="99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w:t>
            </w:r>
          </w:p>
        </w:tc>
        <w:tc>
          <w:tcPr>
            <w:tcW w:w="1305"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3"/>
                <w:szCs w:val="13"/>
              </w:rPr>
            </w:pPr>
            <w:r>
              <w:rPr>
                <w:rFonts w:cs="Calibri"/>
                <w:sz w:val="13"/>
                <w:szCs w:val="13"/>
              </w:rPr>
              <w:t>PN-B-04481 [1]</w:t>
            </w:r>
          </w:p>
        </w:tc>
      </w:tr>
      <w:tr>
        <w:trPr/>
        <w:tc>
          <w:tcPr>
            <w:tcW w:w="404"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8"/>
              </w:rPr>
            </w:pPr>
            <w:r>
              <w:rPr>
                <w:rFonts w:cs="Calibri"/>
                <w:sz w:val="16"/>
                <w:szCs w:val="18"/>
              </w:rPr>
              <w:t>5</w:t>
            </w:r>
          </w:p>
        </w:tc>
        <w:tc>
          <w:tcPr>
            <w:tcW w:w="257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8"/>
              </w:rPr>
            </w:pPr>
            <w:r>
              <w:rPr>
                <w:rFonts w:cs="Calibri"/>
                <w:sz w:val="14"/>
                <w:szCs w:val="18"/>
              </w:rPr>
              <w:t xml:space="preserve">Wskaźnik piaskowy po pięciokrotnym zagęszczeniu metodą I lub II </w:t>
              <w:br/>
              <w:t>wg PN-B-04481, %</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od 30 do 70</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od 30 do 70</w:t>
            </w:r>
          </w:p>
        </w:tc>
        <w:tc>
          <w:tcPr>
            <w:tcW w:w="9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od 30 do 70</w:t>
            </w:r>
          </w:p>
        </w:tc>
        <w:tc>
          <w:tcPr>
            <w:tcW w:w="10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od 30 do 70</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w:t>
            </w:r>
          </w:p>
        </w:tc>
        <w:tc>
          <w:tcPr>
            <w:tcW w:w="99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w:t>
            </w:r>
          </w:p>
        </w:tc>
        <w:tc>
          <w:tcPr>
            <w:tcW w:w="1305"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3"/>
                <w:szCs w:val="13"/>
              </w:rPr>
            </w:pPr>
            <w:r>
              <w:rPr>
                <w:rFonts w:cs="Calibri"/>
                <w:sz w:val="13"/>
                <w:szCs w:val="13"/>
              </w:rPr>
              <w:t>BN- 64/8931-01 [26]</w:t>
            </w:r>
          </w:p>
        </w:tc>
      </w:tr>
      <w:tr>
        <w:trPr/>
        <w:tc>
          <w:tcPr>
            <w:tcW w:w="404"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8"/>
              </w:rPr>
            </w:pPr>
            <w:r>
              <w:rPr>
                <w:rFonts w:cs="Calibri"/>
                <w:sz w:val="16"/>
                <w:szCs w:val="18"/>
              </w:rPr>
              <w:t>6</w:t>
            </w:r>
          </w:p>
        </w:tc>
        <w:tc>
          <w:tcPr>
            <w:tcW w:w="257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i/>
                <w:i/>
                <w:sz w:val="14"/>
                <w:szCs w:val="18"/>
              </w:rPr>
            </w:pPr>
            <w:r>
              <w:rPr>
                <w:rFonts w:cs="Calibri"/>
                <w:sz w:val="14"/>
                <w:szCs w:val="18"/>
              </w:rPr>
              <w:t xml:space="preserve">Ścieralność w bębnie </w:t>
            </w:r>
            <w:r>
              <w:rPr>
                <w:rFonts w:cs="Calibri"/>
                <w:i/>
                <w:sz w:val="14"/>
                <w:szCs w:val="18"/>
              </w:rPr>
              <w:t>Los Angeles</w:t>
            </w:r>
          </w:p>
          <w:p>
            <w:pPr>
              <w:pStyle w:val="ListParagraph"/>
              <w:numPr>
                <w:ilvl w:val="0"/>
                <w:numId w:val="1"/>
              </w:numPr>
              <w:spacing w:lineRule="auto" w:line="240" w:before="0" w:after="0"/>
              <w:ind w:hanging="142" w:left="93"/>
              <w:contextualSpacing/>
              <w:rPr>
                <w:rFonts w:cs="Calibri"/>
                <w:sz w:val="14"/>
                <w:szCs w:val="18"/>
              </w:rPr>
            </w:pPr>
            <w:r>
              <w:rPr>
                <w:rFonts w:cs="Calibri"/>
                <w:sz w:val="14"/>
                <w:szCs w:val="18"/>
              </w:rPr>
              <w:t>ścieralność całkowita po pełnej liczbie obrotów, nie więcej niż;</w:t>
            </w:r>
          </w:p>
          <w:p>
            <w:pPr>
              <w:pStyle w:val="ListParagraph"/>
              <w:numPr>
                <w:ilvl w:val="0"/>
                <w:numId w:val="1"/>
              </w:numPr>
              <w:spacing w:lineRule="auto" w:line="240" w:before="0" w:after="0"/>
              <w:ind w:hanging="142" w:left="93"/>
              <w:contextualSpacing/>
              <w:rPr>
                <w:rFonts w:cs="Calibri"/>
                <w:sz w:val="14"/>
                <w:szCs w:val="18"/>
              </w:rPr>
            </w:pPr>
            <w:r>
              <w:rPr>
                <w:rFonts w:cs="Calibri"/>
                <w:sz w:val="14"/>
                <w:szCs w:val="18"/>
              </w:rPr>
              <w:t>ścieralność częściowa po 1/5 pełnej liczby obrotów, nie więcej niż;</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35</w:t>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30</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45</w:t>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40</w:t>
            </w:r>
          </w:p>
        </w:tc>
        <w:tc>
          <w:tcPr>
            <w:tcW w:w="9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r>
          </w:p>
          <w:p>
            <w:pPr>
              <w:pStyle w:val="Normal"/>
              <w:spacing w:lineRule="auto" w:line="240" w:before="0" w:after="0"/>
              <w:jc w:val="center"/>
              <w:rPr>
                <w:rFonts w:cs="Calibri"/>
                <w:b/>
                <w:sz w:val="14"/>
                <w:szCs w:val="16"/>
              </w:rPr>
            </w:pPr>
            <w:r>
              <w:rPr>
                <w:rFonts w:cs="Calibri"/>
                <w:b/>
                <w:sz w:val="14"/>
                <w:szCs w:val="16"/>
              </w:rPr>
            </w:r>
          </w:p>
          <w:p>
            <w:pPr>
              <w:pStyle w:val="Normal"/>
              <w:spacing w:lineRule="auto" w:line="240" w:before="0" w:after="0"/>
              <w:jc w:val="center"/>
              <w:rPr>
                <w:rFonts w:cs="Calibri"/>
                <w:b/>
                <w:sz w:val="14"/>
                <w:szCs w:val="16"/>
              </w:rPr>
            </w:pPr>
            <w:r>
              <w:rPr>
                <w:rFonts w:cs="Calibri"/>
                <w:b/>
                <w:sz w:val="14"/>
                <w:szCs w:val="16"/>
              </w:rPr>
              <w:t>35</w:t>
            </w:r>
          </w:p>
          <w:p>
            <w:pPr>
              <w:pStyle w:val="Normal"/>
              <w:spacing w:lineRule="auto" w:line="240" w:before="0" w:after="0"/>
              <w:jc w:val="center"/>
              <w:rPr>
                <w:rFonts w:cs="Calibri"/>
                <w:b/>
                <w:sz w:val="14"/>
                <w:szCs w:val="16"/>
              </w:rPr>
            </w:pPr>
            <w:r>
              <w:rPr>
                <w:rFonts w:cs="Calibri"/>
                <w:b/>
                <w:sz w:val="14"/>
                <w:szCs w:val="16"/>
              </w:rPr>
            </w:r>
          </w:p>
          <w:p>
            <w:pPr>
              <w:pStyle w:val="Normal"/>
              <w:spacing w:lineRule="auto" w:line="240" w:before="0" w:after="0"/>
              <w:jc w:val="center"/>
              <w:rPr>
                <w:rFonts w:cs="Calibri"/>
                <w:b/>
                <w:sz w:val="14"/>
                <w:szCs w:val="16"/>
              </w:rPr>
            </w:pPr>
            <w:r>
              <w:rPr>
                <w:rFonts w:cs="Calibri"/>
                <w:b/>
                <w:sz w:val="14"/>
                <w:szCs w:val="16"/>
              </w:rPr>
              <w:t>30</w:t>
            </w:r>
          </w:p>
        </w:tc>
        <w:tc>
          <w:tcPr>
            <w:tcW w:w="10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r>
          </w:p>
          <w:p>
            <w:pPr>
              <w:pStyle w:val="Normal"/>
              <w:spacing w:lineRule="auto" w:line="240" w:before="0" w:after="0"/>
              <w:jc w:val="center"/>
              <w:rPr>
                <w:rFonts w:cs="Calibri"/>
                <w:b/>
                <w:sz w:val="14"/>
                <w:szCs w:val="16"/>
              </w:rPr>
            </w:pPr>
            <w:r>
              <w:rPr>
                <w:rFonts w:cs="Calibri"/>
                <w:b/>
                <w:sz w:val="14"/>
                <w:szCs w:val="16"/>
              </w:rPr>
            </w:r>
          </w:p>
          <w:p>
            <w:pPr>
              <w:pStyle w:val="Normal"/>
              <w:spacing w:lineRule="auto" w:line="240" w:before="0" w:after="0"/>
              <w:jc w:val="center"/>
              <w:rPr>
                <w:rFonts w:cs="Calibri"/>
                <w:b/>
                <w:sz w:val="14"/>
                <w:szCs w:val="16"/>
              </w:rPr>
            </w:pPr>
            <w:r>
              <w:rPr>
                <w:rFonts w:cs="Calibri"/>
                <w:b/>
                <w:sz w:val="14"/>
                <w:szCs w:val="16"/>
              </w:rPr>
              <w:t>50</w:t>
            </w:r>
          </w:p>
          <w:p>
            <w:pPr>
              <w:pStyle w:val="Normal"/>
              <w:spacing w:lineRule="auto" w:line="240" w:before="0" w:after="0"/>
              <w:jc w:val="center"/>
              <w:rPr>
                <w:rFonts w:cs="Calibri"/>
                <w:b/>
                <w:sz w:val="14"/>
                <w:szCs w:val="16"/>
              </w:rPr>
            </w:pPr>
            <w:r>
              <w:rPr>
                <w:rFonts w:cs="Calibri"/>
                <w:b/>
                <w:sz w:val="14"/>
                <w:szCs w:val="16"/>
              </w:rPr>
            </w:r>
          </w:p>
          <w:p>
            <w:pPr>
              <w:pStyle w:val="Normal"/>
              <w:spacing w:lineRule="auto" w:line="240" w:before="0" w:after="0"/>
              <w:jc w:val="center"/>
              <w:rPr>
                <w:rFonts w:cs="Calibri"/>
                <w:b/>
                <w:sz w:val="14"/>
                <w:szCs w:val="16"/>
              </w:rPr>
            </w:pPr>
            <w:r>
              <w:rPr>
                <w:rFonts w:cs="Calibri"/>
                <w:b/>
                <w:sz w:val="14"/>
                <w:szCs w:val="16"/>
              </w:rPr>
              <w:t>35</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40</w:t>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30</w:t>
            </w:r>
          </w:p>
        </w:tc>
        <w:tc>
          <w:tcPr>
            <w:tcW w:w="99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50</w:t>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35</w:t>
            </w:r>
          </w:p>
        </w:tc>
        <w:tc>
          <w:tcPr>
            <w:tcW w:w="1305"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3"/>
                <w:szCs w:val="13"/>
              </w:rPr>
            </w:pPr>
            <w:r>
              <w:rPr>
                <w:rFonts w:cs="Calibri"/>
                <w:sz w:val="13"/>
                <w:szCs w:val="13"/>
              </w:rPr>
              <w:t>PN-B-06714-42 [12]</w:t>
            </w:r>
          </w:p>
        </w:tc>
      </w:tr>
      <w:tr>
        <w:trPr/>
        <w:tc>
          <w:tcPr>
            <w:tcW w:w="404"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8"/>
              </w:rPr>
            </w:pPr>
            <w:r>
              <w:rPr>
                <w:rFonts w:cs="Calibri"/>
                <w:sz w:val="16"/>
                <w:szCs w:val="18"/>
              </w:rPr>
              <w:t>7</w:t>
            </w:r>
          </w:p>
        </w:tc>
        <w:tc>
          <w:tcPr>
            <w:tcW w:w="257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8"/>
              </w:rPr>
            </w:pPr>
            <w:r>
              <w:rPr>
                <w:rFonts w:cs="Calibri"/>
                <w:sz w:val="14"/>
                <w:szCs w:val="18"/>
              </w:rPr>
              <w:t>Nasiąkliwość,</w:t>
              <w:br/>
              <w:t>% (n/m), nie więcej niż</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2,5</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4</w:t>
            </w:r>
          </w:p>
        </w:tc>
        <w:tc>
          <w:tcPr>
            <w:tcW w:w="9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3</w:t>
            </w:r>
          </w:p>
        </w:tc>
        <w:tc>
          <w:tcPr>
            <w:tcW w:w="10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5</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6</w:t>
            </w:r>
          </w:p>
        </w:tc>
        <w:tc>
          <w:tcPr>
            <w:tcW w:w="99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8</w:t>
            </w:r>
          </w:p>
        </w:tc>
        <w:tc>
          <w:tcPr>
            <w:tcW w:w="1305"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3"/>
                <w:szCs w:val="13"/>
              </w:rPr>
            </w:pPr>
            <w:r>
              <w:rPr>
                <w:rFonts w:cs="Calibri"/>
                <w:sz w:val="13"/>
                <w:szCs w:val="13"/>
              </w:rPr>
              <w:t>PN-B-06714-18 [6]</w:t>
            </w:r>
          </w:p>
        </w:tc>
      </w:tr>
      <w:tr>
        <w:trPr/>
        <w:tc>
          <w:tcPr>
            <w:tcW w:w="404"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8"/>
              </w:rPr>
            </w:pPr>
            <w:r>
              <w:rPr>
                <w:rFonts w:cs="Calibri"/>
                <w:sz w:val="16"/>
                <w:szCs w:val="18"/>
              </w:rPr>
              <w:t>8</w:t>
            </w:r>
          </w:p>
        </w:tc>
        <w:tc>
          <w:tcPr>
            <w:tcW w:w="257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8"/>
              </w:rPr>
            </w:pPr>
            <w:r>
              <w:rPr>
                <w:rFonts w:cs="Calibri"/>
                <w:sz w:val="14"/>
                <w:szCs w:val="18"/>
              </w:rPr>
              <w:t xml:space="preserve">Mrozoodporność, </w:t>
              <w:br/>
              <w:t>ubytek masy po 25 cyklach zamrażania;</w:t>
              <w:br/>
              <w:t>% (n/m), nie więcej niż</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5</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10</w:t>
            </w:r>
          </w:p>
        </w:tc>
        <w:tc>
          <w:tcPr>
            <w:tcW w:w="9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5</w:t>
            </w:r>
          </w:p>
        </w:tc>
        <w:tc>
          <w:tcPr>
            <w:tcW w:w="10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10</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5</w:t>
            </w:r>
          </w:p>
        </w:tc>
        <w:tc>
          <w:tcPr>
            <w:tcW w:w="99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10</w:t>
            </w:r>
          </w:p>
        </w:tc>
        <w:tc>
          <w:tcPr>
            <w:tcW w:w="1305"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3"/>
                <w:szCs w:val="13"/>
              </w:rPr>
            </w:pPr>
            <w:r>
              <w:rPr>
                <w:rFonts w:cs="Calibri"/>
                <w:sz w:val="13"/>
                <w:szCs w:val="13"/>
              </w:rPr>
              <w:t>PN-B-06714-9 [7]</w:t>
            </w:r>
          </w:p>
        </w:tc>
      </w:tr>
      <w:tr>
        <w:trPr/>
        <w:tc>
          <w:tcPr>
            <w:tcW w:w="404"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8"/>
              </w:rPr>
            </w:pPr>
            <w:r>
              <w:rPr>
                <w:rFonts w:cs="Calibri"/>
                <w:sz w:val="16"/>
                <w:szCs w:val="18"/>
              </w:rPr>
              <w:t>9</w:t>
            </w:r>
          </w:p>
        </w:tc>
        <w:tc>
          <w:tcPr>
            <w:tcW w:w="257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8"/>
              </w:rPr>
            </w:pPr>
            <w:r>
              <w:rPr>
                <w:rFonts w:cs="Calibri"/>
                <w:sz w:val="14"/>
                <w:szCs w:val="18"/>
              </w:rPr>
              <w:t>Rozpad krzemieniowy i żelazawy łącznie,</w:t>
              <w:br/>
              <w:t>% (n/m), nie więcej niż</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w:t>
            </w:r>
          </w:p>
        </w:tc>
        <w:tc>
          <w:tcPr>
            <w:tcW w:w="9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w:t>
            </w:r>
          </w:p>
        </w:tc>
        <w:tc>
          <w:tcPr>
            <w:tcW w:w="10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w:t>
            </w:r>
          </w:p>
        </w:tc>
        <w:tc>
          <w:tcPr>
            <w:tcW w:w="99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3</w:t>
            </w:r>
          </w:p>
        </w:tc>
        <w:tc>
          <w:tcPr>
            <w:tcW w:w="1305"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3"/>
                <w:szCs w:val="13"/>
              </w:rPr>
            </w:pPr>
            <w:r>
              <w:rPr>
                <w:rFonts w:cs="Calibri"/>
                <w:sz w:val="13"/>
                <w:szCs w:val="13"/>
              </w:rPr>
              <w:t>PN-B-06714-37 [10]</w:t>
            </w:r>
          </w:p>
          <w:p>
            <w:pPr>
              <w:pStyle w:val="Normal"/>
              <w:spacing w:lineRule="auto" w:line="240" w:before="0" w:after="0"/>
              <w:jc w:val="center"/>
              <w:rPr>
                <w:rFonts w:cs="Calibri"/>
                <w:sz w:val="13"/>
                <w:szCs w:val="13"/>
              </w:rPr>
            </w:pPr>
            <w:r>
              <w:rPr>
                <w:rFonts w:cs="Calibri"/>
                <w:sz w:val="13"/>
                <w:szCs w:val="13"/>
              </w:rPr>
              <w:t>PN-B-06714-39 [11]</w:t>
            </w:r>
          </w:p>
        </w:tc>
      </w:tr>
      <w:tr>
        <w:trPr/>
        <w:tc>
          <w:tcPr>
            <w:tcW w:w="404"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8"/>
              </w:rPr>
            </w:pPr>
            <w:r>
              <w:rPr>
                <w:rFonts w:cs="Calibri"/>
                <w:sz w:val="16"/>
                <w:szCs w:val="18"/>
              </w:rPr>
              <w:t>10</w:t>
            </w:r>
          </w:p>
        </w:tc>
        <w:tc>
          <w:tcPr>
            <w:tcW w:w="257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8"/>
              </w:rPr>
            </w:pPr>
            <w:r>
              <w:rPr>
                <w:rFonts w:cs="Calibri"/>
                <w:sz w:val="14"/>
                <w:szCs w:val="18"/>
              </w:rPr>
              <w:t xml:space="preserve">Zawartość związków siarki </w:t>
              <w:br/>
              <w:t>w przeliczeniu na SO</w:t>
            </w:r>
            <w:r>
              <w:rPr>
                <w:rFonts w:cs="Calibri"/>
                <w:sz w:val="14"/>
                <w:szCs w:val="18"/>
                <w:vertAlign w:val="subscript"/>
              </w:rPr>
              <w:t>3</w:t>
            </w:r>
            <w:r>
              <w:rPr>
                <w:rFonts w:cs="Calibri"/>
                <w:sz w:val="14"/>
                <w:szCs w:val="18"/>
              </w:rPr>
              <w:t>;</w:t>
              <w:br/>
              <w:t>% (n/m), nie więcej niż</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w:t>
            </w:r>
          </w:p>
        </w:tc>
        <w:tc>
          <w:tcPr>
            <w:tcW w:w="9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1</w:t>
            </w:r>
          </w:p>
        </w:tc>
        <w:tc>
          <w:tcPr>
            <w:tcW w:w="10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1</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2</w:t>
            </w:r>
          </w:p>
        </w:tc>
        <w:tc>
          <w:tcPr>
            <w:tcW w:w="99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4</w:t>
            </w:r>
          </w:p>
        </w:tc>
        <w:tc>
          <w:tcPr>
            <w:tcW w:w="1305"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3"/>
                <w:szCs w:val="13"/>
              </w:rPr>
            </w:pPr>
            <w:r>
              <w:rPr>
                <w:rFonts w:cs="Calibri"/>
                <w:sz w:val="13"/>
                <w:szCs w:val="13"/>
              </w:rPr>
              <w:t>PN-B-06714-28 [9]</w:t>
            </w:r>
          </w:p>
        </w:tc>
      </w:tr>
      <w:tr>
        <w:trPr/>
        <w:tc>
          <w:tcPr>
            <w:tcW w:w="404" w:type="dxa"/>
            <w:tcBorders>
              <w:top w:val="single" w:sz="4" w:space="0" w:color="000000"/>
              <w:left w:val="double" w:sz="4" w:space="0" w:color="000000"/>
              <w:bottom w:val="double" w:sz="4" w:space="0" w:color="000000"/>
              <w:right w:val="single" w:sz="4" w:space="0" w:color="000000"/>
            </w:tcBorders>
            <w:vAlign w:val="center"/>
          </w:tcPr>
          <w:p>
            <w:pPr>
              <w:pStyle w:val="Normal"/>
              <w:spacing w:lineRule="auto" w:line="240" w:before="0" w:after="0"/>
              <w:jc w:val="center"/>
              <w:rPr>
                <w:rFonts w:cs="Calibri"/>
                <w:sz w:val="16"/>
                <w:szCs w:val="18"/>
              </w:rPr>
            </w:pPr>
            <w:r>
              <w:rPr>
                <w:rFonts w:cs="Calibri"/>
                <w:sz w:val="16"/>
                <w:szCs w:val="18"/>
              </w:rPr>
              <w:t>11</w:t>
            </w:r>
          </w:p>
        </w:tc>
        <w:tc>
          <w:tcPr>
            <w:tcW w:w="2572"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cs="Calibri"/>
                <w:sz w:val="14"/>
                <w:szCs w:val="18"/>
              </w:rPr>
            </w:pPr>
            <w:r>
              <w:rPr>
                <w:rFonts w:cs="Calibri"/>
                <w:sz w:val="14"/>
                <w:szCs w:val="18"/>
              </w:rPr>
              <w:t>Wskaźnik nośności w</w:t>
            </w:r>
            <w:r>
              <w:rPr>
                <w:rFonts w:cs="Calibri"/>
                <w:sz w:val="14"/>
                <w:szCs w:val="18"/>
                <w:vertAlign w:val="subscript"/>
              </w:rPr>
              <w:t>noś</w:t>
            </w:r>
            <w:r>
              <w:rPr>
                <w:rFonts w:cs="Calibri"/>
                <w:sz w:val="14"/>
                <w:szCs w:val="18"/>
              </w:rPr>
              <w:t>, mieszanki kruszywa, % (n/m), nie więcej niż</w:t>
            </w:r>
          </w:p>
          <w:p>
            <w:pPr>
              <w:pStyle w:val="ListParagraph"/>
              <w:numPr>
                <w:ilvl w:val="0"/>
                <w:numId w:val="2"/>
              </w:numPr>
              <w:spacing w:lineRule="auto" w:line="240" w:before="0" w:after="0"/>
              <w:ind w:hanging="158" w:left="93"/>
              <w:contextualSpacing/>
              <w:rPr>
                <w:rFonts w:cs="Calibri"/>
                <w:sz w:val="14"/>
                <w:szCs w:val="18"/>
              </w:rPr>
            </w:pPr>
            <w:r>
              <w:rPr>
                <w:rFonts w:cs="Calibri"/>
                <w:sz w:val="14"/>
                <w:szCs w:val="18"/>
              </w:rPr>
              <w:t xml:space="preserve">ścieralność całkowita po pełnej liczbie przy zagęszczeniu 1s </w:t>
            </w:r>
            <w:r>
              <w:rPr>
                <w:sz w:val="14"/>
              </w:rPr>
              <w:t>≥</w:t>
            </w:r>
            <w:r>
              <w:rPr>
                <w:rFonts w:cs="Calibri"/>
                <w:sz w:val="14"/>
                <w:szCs w:val="18"/>
              </w:rPr>
              <w:t xml:space="preserve"> 1,00;</w:t>
            </w:r>
          </w:p>
          <w:p>
            <w:pPr>
              <w:pStyle w:val="ListParagraph"/>
              <w:numPr>
                <w:ilvl w:val="0"/>
                <w:numId w:val="2"/>
              </w:numPr>
              <w:spacing w:lineRule="auto" w:line="240" w:before="0" w:after="0"/>
              <w:ind w:hanging="158" w:left="93"/>
              <w:contextualSpacing/>
              <w:rPr>
                <w:rFonts w:cs="Calibri"/>
                <w:sz w:val="14"/>
                <w:szCs w:val="18"/>
              </w:rPr>
            </w:pPr>
            <w:r>
              <w:rPr>
                <w:rFonts w:cs="Calibri"/>
                <w:sz w:val="14"/>
                <w:szCs w:val="18"/>
              </w:rPr>
              <w:t xml:space="preserve">ścieralność całkowita po pełnej liczbie przy zagęszczeniu 1s </w:t>
            </w:r>
            <w:r>
              <w:rPr>
                <w:sz w:val="14"/>
              </w:rPr>
              <w:t>≤</w:t>
            </w:r>
            <w:r>
              <w:rPr>
                <w:rFonts w:cs="Calibri"/>
                <w:sz w:val="14"/>
                <w:szCs w:val="18"/>
              </w:rPr>
              <w:t xml:space="preserve"> 1,03;</w:t>
            </w:r>
          </w:p>
        </w:tc>
        <w:tc>
          <w:tcPr>
            <w:tcW w:w="907" w:type="dxa"/>
            <w:tcBorders>
              <w:top w:val="single" w:sz="4" w:space="0" w:color="000000"/>
              <w:left w:val="single" w:sz="4" w:space="0" w:color="000000"/>
              <w:bottom w:val="double" w:sz="4" w:space="0" w:color="000000"/>
              <w:right w:val="single" w:sz="4" w:space="0" w:color="000000"/>
            </w:tcBorders>
            <w:vAlign w:val="bottom"/>
          </w:tcPr>
          <w:p>
            <w:pPr>
              <w:pStyle w:val="Normal"/>
              <w:spacing w:lineRule="auto" w:line="240" w:before="0" w:after="0"/>
              <w:jc w:val="center"/>
              <w:rPr>
                <w:rFonts w:cs="Calibri"/>
                <w:sz w:val="14"/>
                <w:szCs w:val="16"/>
              </w:rPr>
            </w:pPr>
            <w:r>
              <w:rPr>
                <w:rFonts w:cs="Calibri"/>
                <w:sz w:val="14"/>
                <w:szCs w:val="16"/>
              </w:rPr>
              <w:t>80</w:t>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120</w:t>
            </w:r>
          </w:p>
        </w:tc>
        <w:tc>
          <w:tcPr>
            <w:tcW w:w="994" w:type="dxa"/>
            <w:tcBorders>
              <w:top w:val="single" w:sz="4" w:space="0" w:color="000000"/>
              <w:left w:val="single" w:sz="4" w:space="0" w:color="000000"/>
              <w:bottom w:val="double" w:sz="4" w:space="0" w:color="000000"/>
              <w:right w:val="single" w:sz="4" w:space="0" w:color="000000"/>
            </w:tcBorders>
            <w:vAlign w:val="bottom"/>
          </w:tcPr>
          <w:p>
            <w:pPr>
              <w:pStyle w:val="Normal"/>
              <w:spacing w:lineRule="auto" w:line="240" w:before="0" w:after="0"/>
              <w:jc w:val="center"/>
              <w:rPr>
                <w:rFonts w:cs="Calibri"/>
                <w:sz w:val="14"/>
                <w:szCs w:val="16"/>
              </w:rPr>
            </w:pPr>
            <w:r>
              <w:rPr>
                <w:rFonts w:cs="Calibri"/>
                <w:sz w:val="14"/>
                <w:szCs w:val="16"/>
              </w:rPr>
              <w:t>60</w:t>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w:t>
            </w:r>
          </w:p>
        </w:tc>
        <w:tc>
          <w:tcPr>
            <w:tcW w:w="921" w:type="dxa"/>
            <w:tcBorders>
              <w:top w:val="single" w:sz="4" w:space="0" w:color="000000"/>
              <w:left w:val="single" w:sz="4" w:space="0" w:color="000000"/>
              <w:bottom w:val="double" w:sz="4" w:space="0" w:color="000000"/>
              <w:right w:val="single" w:sz="4" w:space="0" w:color="000000"/>
            </w:tcBorders>
            <w:vAlign w:val="bottom"/>
          </w:tcPr>
          <w:p>
            <w:pPr>
              <w:pStyle w:val="Normal"/>
              <w:spacing w:lineRule="auto" w:line="240" w:before="0" w:after="0"/>
              <w:jc w:val="center"/>
              <w:rPr>
                <w:rFonts w:cs="Calibri"/>
                <w:b/>
                <w:sz w:val="14"/>
                <w:szCs w:val="16"/>
              </w:rPr>
            </w:pPr>
            <w:r>
              <w:rPr>
                <w:rFonts w:cs="Calibri"/>
                <w:b/>
                <w:sz w:val="14"/>
                <w:szCs w:val="16"/>
              </w:rPr>
              <w:t>80</w:t>
            </w:r>
          </w:p>
          <w:p>
            <w:pPr>
              <w:pStyle w:val="Normal"/>
              <w:spacing w:lineRule="auto" w:line="240" w:before="0" w:after="0"/>
              <w:jc w:val="center"/>
              <w:rPr>
                <w:rFonts w:cs="Calibri"/>
                <w:b/>
                <w:sz w:val="14"/>
                <w:szCs w:val="16"/>
              </w:rPr>
            </w:pPr>
            <w:r>
              <w:rPr>
                <w:rFonts w:cs="Calibri"/>
                <w:b/>
                <w:sz w:val="14"/>
                <w:szCs w:val="16"/>
              </w:rPr>
            </w:r>
          </w:p>
          <w:p>
            <w:pPr>
              <w:pStyle w:val="Normal"/>
              <w:spacing w:lineRule="auto" w:line="240" w:before="0" w:after="0"/>
              <w:jc w:val="center"/>
              <w:rPr>
                <w:rFonts w:cs="Calibri"/>
                <w:b/>
                <w:sz w:val="14"/>
                <w:szCs w:val="16"/>
              </w:rPr>
            </w:pPr>
            <w:r>
              <w:rPr>
                <w:rFonts w:cs="Calibri"/>
                <w:b/>
                <w:sz w:val="14"/>
                <w:szCs w:val="16"/>
              </w:rPr>
              <w:t>120</w:t>
            </w:r>
          </w:p>
        </w:tc>
        <w:tc>
          <w:tcPr>
            <w:tcW w:w="1007" w:type="dxa"/>
            <w:tcBorders>
              <w:top w:val="single" w:sz="4" w:space="0" w:color="000000"/>
              <w:left w:val="single" w:sz="4" w:space="0" w:color="000000"/>
              <w:bottom w:val="double" w:sz="4" w:space="0" w:color="000000"/>
              <w:right w:val="single" w:sz="4" w:space="0" w:color="000000"/>
            </w:tcBorders>
            <w:vAlign w:val="bottom"/>
          </w:tcPr>
          <w:p>
            <w:pPr>
              <w:pStyle w:val="Normal"/>
              <w:spacing w:lineRule="auto" w:line="240" w:before="0" w:after="0"/>
              <w:jc w:val="center"/>
              <w:rPr>
                <w:rFonts w:cs="Calibri"/>
                <w:b/>
                <w:sz w:val="14"/>
                <w:szCs w:val="16"/>
              </w:rPr>
            </w:pPr>
            <w:r>
              <w:rPr>
                <w:rFonts w:cs="Calibri"/>
                <w:b/>
                <w:sz w:val="14"/>
                <w:szCs w:val="16"/>
              </w:rPr>
              <w:t>60</w:t>
            </w:r>
          </w:p>
          <w:p>
            <w:pPr>
              <w:pStyle w:val="Normal"/>
              <w:spacing w:lineRule="auto" w:line="240" w:before="0" w:after="0"/>
              <w:jc w:val="center"/>
              <w:rPr>
                <w:rFonts w:cs="Calibri"/>
                <w:b/>
                <w:sz w:val="14"/>
                <w:szCs w:val="16"/>
              </w:rPr>
            </w:pPr>
            <w:r>
              <w:rPr>
                <w:rFonts w:cs="Calibri"/>
                <w:b/>
                <w:sz w:val="14"/>
                <w:szCs w:val="16"/>
              </w:rPr>
            </w:r>
          </w:p>
          <w:p>
            <w:pPr>
              <w:pStyle w:val="Normal"/>
              <w:spacing w:lineRule="auto" w:line="240" w:before="0" w:after="0"/>
              <w:jc w:val="center"/>
              <w:rPr>
                <w:rFonts w:cs="Calibri"/>
                <w:b/>
                <w:sz w:val="14"/>
                <w:szCs w:val="16"/>
              </w:rPr>
            </w:pPr>
            <w:r>
              <w:rPr>
                <w:rFonts w:cs="Calibri"/>
                <w:b/>
                <w:sz w:val="14"/>
                <w:szCs w:val="16"/>
              </w:rPr>
              <w:t>-</w:t>
            </w:r>
          </w:p>
        </w:tc>
        <w:tc>
          <w:tcPr>
            <w:tcW w:w="907" w:type="dxa"/>
            <w:tcBorders>
              <w:top w:val="single" w:sz="4" w:space="0" w:color="000000"/>
              <w:left w:val="single" w:sz="4" w:space="0" w:color="000000"/>
              <w:bottom w:val="double" w:sz="4" w:space="0" w:color="000000"/>
              <w:right w:val="single" w:sz="4" w:space="0" w:color="000000"/>
            </w:tcBorders>
            <w:vAlign w:val="bottom"/>
          </w:tcPr>
          <w:p>
            <w:pPr>
              <w:pStyle w:val="Normal"/>
              <w:spacing w:lineRule="auto" w:line="240" w:before="0" w:after="0"/>
              <w:jc w:val="center"/>
              <w:rPr>
                <w:rFonts w:cs="Calibri"/>
                <w:sz w:val="14"/>
                <w:szCs w:val="16"/>
              </w:rPr>
            </w:pPr>
            <w:r>
              <w:rPr>
                <w:rFonts w:cs="Calibri"/>
                <w:sz w:val="14"/>
                <w:szCs w:val="16"/>
              </w:rPr>
              <w:t>80</w:t>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120</w:t>
            </w:r>
          </w:p>
        </w:tc>
        <w:tc>
          <w:tcPr>
            <w:tcW w:w="997" w:type="dxa"/>
            <w:tcBorders>
              <w:top w:val="single" w:sz="4" w:space="0" w:color="000000"/>
              <w:left w:val="single" w:sz="4" w:space="0" w:color="000000"/>
              <w:bottom w:val="double" w:sz="4" w:space="0" w:color="000000"/>
              <w:right w:val="single" w:sz="4" w:space="0" w:color="000000"/>
            </w:tcBorders>
            <w:vAlign w:val="bottom"/>
          </w:tcPr>
          <w:p>
            <w:pPr>
              <w:pStyle w:val="Normal"/>
              <w:spacing w:lineRule="auto" w:line="240" w:before="0" w:after="0"/>
              <w:jc w:val="center"/>
              <w:rPr>
                <w:rFonts w:cs="Calibri"/>
                <w:sz w:val="14"/>
                <w:szCs w:val="16"/>
              </w:rPr>
            </w:pPr>
            <w:r>
              <w:rPr>
                <w:rFonts w:cs="Calibri"/>
                <w:sz w:val="14"/>
                <w:szCs w:val="16"/>
              </w:rPr>
              <w:t>60</w:t>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w:t>
            </w:r>
          </w:p>
        </w:tc>
        <w:tc>
          <w:tcPr>
            <w:tcW w:w="1305" w:type="dxa"/>
            <w:tcBorders>
              <w:top w:val="single" w:sz="4" w:space="0" w:color="000000"/>
              <w:left w:val="single" w:sz="4" w:space="0" w:color="000000"/>
              <w:bottom w:val="double" w:sz="4" w:space="0" w:color="000000"/>
              <w:right w:val="double" w:sz="4" w:space="0" w:color="000000"/>
            </w:tcBorders>
            <w:vAlign w:val="center"/>
          </w:tcPr>
          <w:p>
            <w:pPr>
              <w:pStyle w:val="Normal"/>
              <w:spacing w:lineRule="auto" w:line="240" w:before="0" w:after="0"/>
              <w:jc w:val="center"/>
              <w:rPr>
                <w:rFonts w:cs="Calibri"/>
                <w:sz w:val="13"/>
                <w:szCs w:val="13"/>
              </w:rPr>
            </w:pPr>
            <w:r>
              <w:rPr>
                <w:rFonts w:cs="Calibri"/>
                <w:sz w:val="13"/>
                <w:szCs w:val="13"/>
              </w:rPr>
              <w:t>PN-S-06102 [21]</w:t>
            </w:r>
          </w:p>
        </w:tc>
      </w:tr>
    </w:tbl>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2.3.6. Woda</w:t>
      </w:r>
    </w:p>
    <w:p>
      <w:pPr>
        <w:pStyle w:val="Normal"/>
        <w:spacing w:lineRule="auto" w:line="240" w:before="0" w:after="0"/>
        <w:ind w:firstLine="284" w:left="567"/>
        <w:jc w:val="both"/>
        <w:rPr>
          <w:rFonts w:cs="Calibri"/>
          <w:sz w:val="20"/>
          <w:szCs w:val="20"/>
        </w:rPr>
      </w:pPr>
      <w:r>
        <w:rPr>
          <w:rFonts w:cs="Calibri"/>
          <w:sz w:val="20"/>
          <w:szCs w:val="20"/>
        </w:rPr>
        <w:t>Należy stosować wodę wg PN-B-32250 [20].</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3. SPRZĘT</w:t>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sz w:val="20"/>
          <w:szCs w:val="20"/>
        </w:rPr>
      </w:pPr>
      <w:r>
        <w:rPr>
          <w:rFonts w:cs="Calibri"/>
          <w:sz w:val="20"/>
          <w:szCs w:val="20"/>
        </w:rPr>
        <w:t>3.1. Ogólne wymagania dotyczące sprzętu</w:t>
      </w:r>
    </w:p>
    <w:p>
      <w:pPr>
        <w:pStyle w:val="Normal"/>
        <w:spacing w:lineRule="auto" w:line="240" w:before="0" w:after="0"/>
        <w:ind w:firstLine="284" w:left="567"/>
        <w:jc w:val="both"/>
        <w:rPr>
          <w:rFonts w:cs="Calibri"/>
          <w:sz w:val="20"/>
          <w:szCs w:val="20"/>
        </w:rPr>
      </w:pPr>
      <w:r>
        <w:rPr>
          <w:rFonts w:cs="Calibri"/>
          <w:sz w:val="20"/>
          <w:szCs w:val="20"/>
        </w:rPr>
        <w:t>Ogólne wymagania dotyczące sprzętu podano w OST D-M-00.00.00 „Wymagania ogólne” pkt 3.</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3.2. Sprzęt do wykonania robót</w:t>
      </w:r>
    </w:p>
    <w:p>
      <w:pPr>
        <w:pStyle w:val="Normal"/>
        <w:spacing w:lineRule="auto" w:line="240" w:before="0" w:after="0"/>
        <w:ind w:firstLine="284" w:left="567"/>
        <w:jc w:val="both"/>
        <w:rPr>
          <w:rFonts w:cs="Calibri"/>
          <w:sz w:val="20"/>
          <w:szCs w:val="20"/>
        </w:rPr>
      </w:pPr>
      <w:r>
        <w:rPr>
          <w:rFonts w:cs="Calibri"/>
          <w:sz w:val="20"/>
          <w:szCs w:val="20"/>
        </w:rPr>
        <w:t>Wykonawca przystępujący do wykonania podbudowy z kruszyw stabilizowanych mechanicznie powinien wykazać się możliwością korzystania z następującego sprzętu:</w:t>
      </w:r>
    </w:p>
    <w:p>
      <w:pPr>
        <w:pStyle w:val="ListParagraph"/>
        <w:numPr>
          <w:ilvl w:val="0"/>
          <w:numId w:val="3"/>
        </w:numPr>
        <w:spacing w:lineRule="auto" w:line="240" w:before="0" w:after="0"/>
        <w:contextualSpacing/>
        <w:jc w:val="both"/>
        <w:rPr>
          <w:rFonts w:cs="Calibri"/>
          <w:sz w:val="20"/>
          <w:szCs w:val="20"/>
        </w:rPr>
      </w:pPr>
      <w:r>
        <w:rPr>
          <w:rFonts w:cs="Calibri"/>
          <w:sz w:val="20"/>
          <w:szCs w:val="20"/>
        </w:rPr>
        <w:t>mieszarek do wytwarzania mieszanki, wyposażonych w urządzenia dozujące wodę.</w:t>
      </w:r>
    </w:p>
    <w:p>
      <w:pPr>
        <w:pStyle w:val="ListParagraph"/>
        <w:spacing w:lineRule="auto" w:line="240" w:before="0" w:after="0"/>
        <w:ind w:left="1571"/>
        <w:contextualSpacing/>
        <w:jc w:val="both"/>
        <w:rPr>
          <w:rFonts w:cs="Calibri"/>
          <w:sz w:val="20"/>
          <w:szCs w:val="20"/>
        </w:rPr>
      </w:pPr>
      <w:r>
        <w:rPr>
          <w:rFonts w:cs="Calibri"/>
          <w:sz w:val="20"/>
          <w:szCs w:val="20"/>
        </w:rPr>
        <w:t>Mieszarki powinny zapewnić wytworzenie jednorodnej mieszanki o wilgotności optymalnej,</w:t>
      </w:r>
    </w:p>
    <w:p>
      <w:pPr>
        <w:pStyle w:val="ListParagraph"/>
        <w:numPr>
          <w:ilvl w:val="0"/>
          <w:numId w:val="3"/>
        </w:numPr>
        <w:spacing w:lineRule="auto" w:line="240" w:before="0" w:after="0"/>
        <w:contextualSpacing/>
        <w:jc w:val="both"/>
        <w:rPr>
          <w:rFonts w:cs="Calibri"/>
          <w:sz w:val="20"/>
          <w:szCs w:val="20"/>
        </w:rPr>
      </w:pPr>
      <w:r>
        <w:rPr>
          <w:rFonts w:cs="Calibri"/>
          <w:sz w:val="20"/>
          <w:szCs w:val="20"/>
        </w:rPr>
        <w:t>równiarek albo układarek do rozkładania mieszanki,</w:t>
      </w:r>
    </w:p>
    <w:p>
      <w:pPr>
        <w:pStyle w:val="ListParagraph"/>
        <w:numPr>
          <w:ilvl w:val="0"/>
          <w:numId w:val="3"/>
        </w:numPr>
        <w:spacing w:lineRule="auto" w:line="240" w:before="0" w:after="0"/>
        <w:contextualSpacing/>
        <w:jc w:val="both"/>
        <w:rPr>
          <w:rFonts w:cs="Calibri"/>
          <w:sz w:val="20"/>
          <w:szCs w:val="20"/>
        </w:rPr>
      </w:pPr>
      <w:r>
        <w:rPr>
          <w:rFonts w:cs="Calibri"/>
          <w:sz w:val="20"/>
          <w:szCs w:val="20"/>
        </w:rPr>
        <w:t>walców ogumionych i stalowych wibracyjnych lub statycznych do zagęszczania. W miejscach trudno dostępnych powinny być stosowane zagęszczarki płytowe, ubijaki mechaniczne lub małe walce wibracyjne.</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4. TRANSPORT</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4.1. Ogólne wymagania dotyczące transportu</w:t>
      </w:r>
    </w:p>
    <w:p>
      <w:pPr>
        <w:pStyle w:val="Normal"/>
        <w:spacing w:lineRule="auto" w:line="240" w:before="0" w:after="0"/>
        <w:ind w:firstLine="284" w:left="567"/>
        <w:jc w:val="both"/>
        <w:rPr>
          <w:rFonts w:cs="Calibri"/>
          <w:sz w:val="20"/>
          <w:szCs w:val="20"/>
        </w:rPr>
      </w:pPr>
      <w:r>
        <w:rPr>
          <w:rFonts w:cs="Calibri"/>
          <w:sz w:val="20"/>
          <w:szCs w:val="20"/>
        </w:rPr>
        <w:t>Ogólne wymagania dotyczące transportu podano w OST D-M-00.00.00 „Wymagania ogólne” pkt 4.</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4.2. Transport materiałów</w:t>
      </w:r>
    </w:p>
    <w:p>
      <w:pPr>
        <w:pStyle w:val="Normal"/>
        <w:spacing w:lineRule="auto" w:line="240" w:before="0" w:after="0"/>
        <w:ind w:firstLine="284" w:left="567"/>
        <w:jc w:val="both"/>
        <w:rPr>
          <w:rFonts w:cs="Calibri"/>
          <w:sz w:val="20"/>
          <w:szCs w:val="20"/>
        </w:rPr>
      </w:pPr>
      <w:r>
        <w:rPr>
          <w:rFonts w:cs="Calibri"/>
          <w:sz w:val="20"/>
          <w:szCs w:val="20"/>
        </w:rPr>
        <w:t>Kruszywa można przewozić dowolnymi środkami transportu w warunkach zabezpieczających je przed zanieczyszczeniem, zmieszaniem z innymi materiałami, nadmiernym wysuszeniem i zawilgoceniem.</w:t>
      </w:r>
    </w:p>
    <w:p>
      <w:pPr>
        <w:pStyle w:val="Normal"/>
        <w:spacing w:lineRule="auto" w:line="240" w:before="0" w:after="0"/>
        <w:ind w:firstLine="284" w:left="567"/>
        <w:jc w:val="both"/>
        <w:rPr>
          <w:rFonts w:cs="Calibri"/>
          <w:sz w:val="20"/>
          <w:szCs w:val="20"/>
        </w:rPr>
      </w:pPr>
      <w:r>
        <w:rPr>
          <w:rFonts w:cs="Calibri"/>
          <w:sz w:val="20"/>
          <w:szCs w:val="20"/>
        </w:rPr>
        <w:t>Transport cementu powinien odbywać się zgodnie z BN-88/6731-08 [24].</w:t>
      </w:r>
    </w:p>
    <w:p>
      <w:pPr>
        <w:pStyle w:val="Normal"/>
        <w:spacing w:lineRule="auto" w:line="240" w:before="0" w:after="0"/>
        <w:ind w:firstLine="284" w:left="567"/>
        <w:jc w:val="both"/>
        <w:rPr>
          <w:rFonts w:cs="Calibri"/>
          <w:sz w:val="20"/>
          <w:szCs w:val="20"/>
        </w:rPr>
      </w:pPr>
      <w:r>
        <w:rPr>
          <w:rFonts w:cs="Calibri"/>
          <w:sz w:val="20"/>
          <w:szCs w:val="20"/>
        </w:rPr>
        <w:t>Transport pozostałych materiałów powinien odbywać się zgodnie z wymaganiami norm przedmiotowych.</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5. WYKONANIE ROBÓT</w:t>
      </w:r>
    </w:p>
    <w:p>
      <w:pPr>
        <w:pStyle w:val="Normal"/>
        <w:spacing w:lineRule="auto" w:line="240" w:before="0" w:after="0"/>
        <w:jc w:val="both"/>
        <w:rPr>
          <w:rFonts w:cs="Calibri"/>
          <w:sz w:val="20"/>
          <w:szCs w:val="20"/>
        </w:rPr>
      </w:pPr>
      <w:r>
        <w:rPr>
          <w:rFonts w:cs="Calibri"/>
          <w:sz w:val="20"/>
          <w:szCs w:val="20"/>
        </w:rPr>
        <w:t>5.1. Ogólne zasady wykonania robót</w:t>
      </w:r>
    </w:p>
    <w:p>
      <w:pPr>
        <w:pStyle w:val="Normal"/>
        <w:spacing w:lineRule="auto" w:line="240" w:before="0" w:after="0"/>
        <w:ind w:firstLine="284" w:left="567"/>
        <w:jc w:val="both"/>
        <w:rPr>
          <w:rFonts w:cs="Calibri"/>
          <w:sz w:val="20"/>
          <w:szCs w:val="20"/>
        </w:rPr>
      </w:pPr>
      <w:r>
        <w:rPr>
          <w:rFonts w:cs="Calibri"/>
          <w:sz w:val="20"/>
          <w:szCs w:val="20"/>
        </w:rPr>
        <w:t>Ogólne zasady wykonania robót podano w OST D-M-00.00.00 „Wymagania ogólne” pkt 5.</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5.2. Przygotowanie podłoża</w:t>
      </w:r>
    </w:p>
    <w:p>
      <w:pPr>
        <w:pStyle w:val="Normal"/>
        <w:spacing w:lineRule="auto" w:line="240" w:before="0" w:after="0"/>
        <w:ind w:firstLine="284" w:left="567"/>
        <w:jc w:val="both"/>
        <w:rPr>
          <w:rFonts w:cs="Calibri"/>
          <w:sz w:val="20"/>
          <w:szCs w:val="20"/>
        </w:rPr>
      </w:pPr>
      <w:r>
        <w:rPr>
          <w:rFonts w:cs="Calibri"/>
          <w:sz w:val="20"/>
          <w:szCs w:val="20"/>
        </w:rPr>
        <w:t>Podłoże pod podbudowę powinno spełniać wymagania określone w OST D-04.01.01 „Koryto wraz z profilowaniem i zagęszczeniem podłoża” i OST D-02.00.00 „Roboty ziemne”.</w:t>
      </w:r>
    </w:p>
    <w:p>
      <w:pPr>
        <w:pStyle w:val="Normal"/>
        <w:spacing w:lineRule="auto" w:line="240" w:before="0" w:after="0"/>
        <w:ind w:firstLine="284" w:left="567"/>
        <w:jc w:val="both"/>
        <w:rPr>
          <w:rFonts w:cs="Calibri"/>
          <w:sz w:val="20"/>
          <w:szCs w:val="20"/>
        </w:rPr>
      </w:pPr>
      <w:r>
        <w:rPr>
          <w:rFonts w:cs="Calibri"/>
          <w:sz w:val="20"/>
          <w:szCs w:val="20"/>
        </w:rPr>
        <w:t>Podbudowa powinna być ułożona na podłożu zapewniającym nieprzenikanie drobnych cząstek gruntu do podbudowy. Warunek nieprzenikania należy sprawdzić wzorem:</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firstLine="284" w:left="567"/>
        <w:jc w:val="center"/>
        <w:rPr>
          <w:rFonts w:cs="Calibri"/>
          <w:sz w:val="24"/>
          <w:szCs w:val="24"/>
        </w:rPr>
      </w:pPr>
      <w:r>
        <w:fldChar w:fldCharType="begin"/>
      </w:r>
      <w:r>
        <w:rPr/>
        <w:instrText xml:space="preserve">QUOTE</w:instrText>
      </w:r>
      <w:r>
        <w:rPr/>
      </w:r>
      <w:r>
        <w:rPr/>
        <w:drawing>
          <wp:inline distT="0" distB="0" distL="0" distR="0">
            <wp:extent cx="561975" cy="333375"/>
            <wp:effectExtent l="0" t="0" r="0" b="0"/>
            <wp:docPr id="2" name="Obraz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2" descr=""/>
                    <pic:cNvPicPr>
                      <a:picLocks noChangeAspect="1" noChangeArrowheads="1"/>
                    </pic:cNvPicPr>
                  </pic:nvPicPr>
                  <pic:blipFill>
                    <a:blip r:embed="rId3"/>
                    <a:stretch>
                      <a:fillRect/>
                    </a:stretch>
                  </pic:blipFill>
                  <pic:spPr bwMode="auto">
                    <a:xfrm>
                      <a:off x="0" y="0"/>
                      <a:ext cx="561975" cy="333375"/>
                    </a:xfrm>
                    <a:prstGeom prst="rect">
                      <a:avLst/>
                    </a:prstGeom>
                  </pic:spPr>
                </pic:pic>
              </a:graphicData>
            </a:graphic>
          </wp:inline>
        </w:drawing>
      </w:r>
      <w:r>
        <w:rPr>
          <w:sz w:val="24"/>
          <w:szCs w:val="24"/>
        </w:rPr>
        <w:fldChar w:fldCharType="separate"/>
      </w:r>
      <w:r>
        <w:rPr>
          <w:sz w:val="24"/>
          <w:szCs w:val="24"/>
        </w:rPr>
      </w:r>
      <w:r>
        <w:rPr/>
        <w:drawing>
          <wp:inline distT="0" distB="0" distL="0" distR="0">
            <wp:extent cx="561975" cy="333375"/>
            <wp:effectExtent l="0" t="0" r="0" b="0"/>
            <wp:docPr id="3" name="Obraz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descr=""/>
                    <pic:cNvPicPr>
                      <a:picLocks noChangeAspect="1" noChangeArrowheads="1"/>
                    </pic:cNvPicPr>
                  </pic:nvPicPr>
                  <pic:blipFill>
                    <a:blip r:embed="rId4"/>
                    <a:stretch>
                      <a:fillRect/>
                    </a:stretch>
                  </pic:blipFill>
                  <pic:spPr bwMode="auto">
                    <a:xfrm>
                      <a:off x="0" y="0"/>
                      <a:ext cx="561975" cy="333375"/>
                    </a:xfrm>
                    <a:prstGeom prst="rect">
                      <a:avLst/>
                    </a:prstGeom>
                  </pic:spPr>
                </pic:pic>
              </a:graphicData>
            </a:graphic>
          </wp:inline>
        </w:drawing>
      </w:r>
      <w:r>
        <w:rPr>
          <w:sz w:val="24"/>
          <w:szCs w:val="24"/>
        </w:rPr>
      </w:r>
      <w:r>
        <w:rPr>
          <w:sz w:val="24"/>
          <w:szCs w:val="24"/>
        </w:rPr>
        <w:fldChar w:fldCharType="end"/>
      </w:r>
      <w:r>
        <w:rPr>
          <w:rFonts w:cs="Calibri"/>
          <w:sz w:val="24"/>
          <w:szCs w:val="24"/>
        </w:rPr>
        <w:t xml:space="preserve">   </w:t>
      </w:r>
      <w:r>
        <w:rPr>
          <w:rFonts w:cs="Calibri"/>
          <w:sz w:val="20"/>
          <w:szCs w:val="24"/>
        </w:rPr>
        <w:t xml:space="preserve"> (1)</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firstLine="284" w:left="567"/>
        <w:jc w:val="both"/>
        <w:rPr>
          <w:rFonts w:cs="Calibri"/>
          <w:sz w:val="20"/>
          <w:szCs w:val="20"/>
        </w:rPr>
      </w:pPr>
      <w:r>
        <w:rPr>
          <w:rFonts w:cs="Calibri"/>
          <w:sz w:val="20"/>
          <w:szCs w:val="20"/>
        </w:rPr>
        <w:t>w którym:</w:t>
      </w:r>
    </w:p>
    <w:p>
      <w:pPr>
        <w:pStyle w:val="Normal"/>
        <w:spacing w:lineRule="auto" w:line="240" w:before="0" w:after="0"/>
        <w:ind w:firstLine="284" w:left="567"/>
        <w:jc w:val="both"/>
        <w:rPr>
          <w:rFonts w:ascii="Times New Roman" w:hAnsi="Times New Roman"/>
          <w:i/>
          <w:i/>
          <w:sz w:val="18"/>
          <w:szCs w:val="20"/>
        </w:rPr>
      </w:pPr>
      <w:r>
        <w:rPr>
          <w:rFonts w:ascii="Times New Roman" w:hAnsi="Times New Roman"/>
          <w:i/>
          <w:sz w:val="20"/>
          <w:szCs w:val="20"/>
        </w:rPr>
        <w:t>D</w:t>
      </w:r>
      <w:r>
        <w:rPr>
          <w:rFonts w:ascii="Times New Roman" w:hAnsi="Times New Roman"/>
          <w:i/>
          <w:sz w:val="20"/>
          <w:szCs w:val="20"/>
          <w:vertAlign w:val="subscript"/>
        </w:rPr>
        <w:t>15</w:t>
      </w:r>
      <w:r>
        <w:rPr>
          <w:rFonts w:ascii="Times New Roman" w:hAnsi="Times New Roman"/>
          <w:i/>
          <w:sz w:val="20"/>
          <w:szCs w:val="20"/>
        </w:rPr>
        <w:t xml:space="preserve"> </w:t>
      </w:r>
      <w:r>
        <w:rPr>
          <w:rFonts w:ascii="Times New Roman" w:hAnsi="Times New Roman"/>
          <w:i/>
          <w:sz w:val="18"/>
          <w:szCs w:val="20"/>
        </w:rPr>
        <w:t>- wymiar boku oczka sita, przez które przechodzi 15% ziaren warstwy podbudowy lub warstwy odsączającej, w milimetrach,</w:t>
      </w:r>
    </w:p>
    <w:p>
      <w:pPr>
        <w:pStyle w:val="Normal"/>
        <w:spacing w:lineRule="auto" w:line="240" w:before="0" w:after="0"/>
        <w:ind w:firstLine="284" w:left="567"/>
        <w:jc w:val="both"/>
        <w:rPr>
          <w:rFonts w:ascii="Times New Roman" w:hAnsi="Times New Roman"/>
          <w:i/>
          <w:i/>
          <w:sz w:val="18"/>
          <w:szCs w:val="20"/>
        </w:rPr>
      </w:pPr>
      <w:r>
        <w:rPr>
          <w:rFonts w:ascii="Times New Roman" w:hAnsi="Times New Roman"/>
          <w:i/>
          <w:sz w:val="20"/>
          <w:szCs w:val="20"/>
        </w:rPr>
        <w:t>d</w:t>
      </w:r>
      <w:r>
        <w:rPr>
          <w:rFonts w:ascii="Times New Roman" w:hAnsi="Times New Roman"/>
          <w:i/>
          <w:sz w:val="20"/>
          <w:szCs w:val="20"/>
          <w:vertAlign w:val="subscript"/>
        </w:rPr>
        <w:t>85</w:t>
      </w:r>
      <w:r>
        <w:rPr>
          <w:rFonts w:ascii="Times New Roman" w:hAnsi="Times New Roman"/>
          <w:i/>
          <w:sz w:val="18"/>
          <w:szCs w:val="20"/>
        </w:rPr>
        <w:t xml:space="preserve"> - wymiar boku oczka sita, przez które przechodzi 85% ziaren gruntu podłoża, w milimetrach.</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firstLine="284" w:left="567"/>
        <w:jc w:val="both"/>
        <w:rPr>
          <w:rFonts w:cs="Calibri"/>
          <w:sz w:val="20"/>
          <w:szCs w:val="20"/>
        </w:rPr>
      </w:pPr>
      <w:r>
        <w:rPr>
          <w:rFonts w:cs="Calibri"/>
          <w:sz w:val="20"/>
          <w:szCs w:val="20"/>
        </w:rPr>
        <w:t>Paliki lub szpilki do prawidłowego ukształtowania podbudowy powinny być wcześniej przygotowane.</w:t>
      </w:r>
    </w:p>
    <w:p>
      <w:pPr>
        <w:pStyle w:val="Normal"/>
        <w:spacing w:lineRule="auto" w:line="240" w:before="0" w:after="0"/>
        <w:ind w:firstLine="284" w:left="567"/>
        <w:jc w:val="both"/>
        <w:rPr>
          <w:rFonts w:cs="Calibri"/>
          <w:sz w:val="20"/>
          <w:szCs w:val="20"/>
        </w:rPr>
      </w:pPr>
      <w:r>
        <w:rPr>
          <w:rFonts w:cs="Calibri"/>
          <w:sz w:val="20"/>
          <w:szCs w:val="20"/>
        </w:rPr>
        <w:t>Paliki lub szpilki powinny być ustawione w osi drogi i w rzędach równoległych do osi drogi, lub w inny sposób zaakceptowany przez Inżyniera.</w:t>
      </w:r>
    </w:p>
    <w:p>
      <w:pPr>
        <w:pStyle w:val="Normal"/>
        <w:spacing w:lineRule="auto" w:line="240" w:before="0" w:after="0"/>
        <w:ind w:firstLine="284" w:left="567"/>
        <w:jc w:val="both"/>
        <w:rPr>
          <w:rFonts w:cs="Calibri"/>
          <w:sz w:val="20"/>
          <w:szCs w:val="20"/>
        </w:rPr>
      </w:pPr>
      <w:r>
        <w:rPr>
          <w:rFonts w:cs="Calibri"/>
          <w:sz w:val="20"/>
          <w:szCs w:val="20"/>
        </w:rPr>
        <w:t>Rozmieszczenie palików lub szpilek powinno umożliwiać naciągnięcie sznurków lub linek do wytyczenia robót w odstępach nie większych niż co 10 m.</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5.3. Wytwarzanie mieszanki kruszywa</w:t>
      </w:r>
    </w:p>
    <w:p>
      <w:pPr>
        <w:pStyle w:val="Normal"/>
        <w:spacing w:lineRule="auto" w:line="240" w:before="0" w:after="0"/>
        <w:ind w:firstLine="284" w:left="567"/>
        <w:jc w:val="both"/>
        <w:rPr>
          <w:rFonts w:cs="Calibri"/>
          <w:sz w:val="20"/>
          <w:szCs w:val="20"/>
        </w:rPr>
      </w:pPr>
      <w:r>
        <w:rPr>
          <w:rFonts w:cs="Calibri"/>
          <w:sz w:val="20"/>
          <w:szCs w:val="20"/>
        </w:rP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r>
        <w:br w:type="page"/>
      </w:r>
    </w:p>
    <w:p>
      <w:pPr>
        <w:pStyle w:val="Normal"/>
        <w:spacing w:before="0" w:after="200"/>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5.4. Wbudowywanie i zagęszczanie mieszanki</w:t>
      </w:r>
    </w:p>
    <w:p>
      <w:pPr>
        <w:pStyle w:val="Normal"/>
        <w:spacing w:lineRule="auto" w:line="240" w:before="0" w:after="0"/>
        <w:ind w:firstLine="284" w:left="567"/>
        <w:jc w:val="both"/>
        <w:rPr>
          <w:rFonts w:cs="Calibri"/>
          <w:sz w:val="20"/>
          <w:szCs w:val="20"/>
        </w:rPr>
      </w:pPr>
      <w:r>
        <w:rPr>
          <w:rFonts w:cs="Calibri"/>
          <w:sz w:val="20"/>
          <w:szCs w:val="20"/>
        </w:rPr>
        <w:t>Mieszanka kruszywa powinna być rozkładana w warstwie o jednakowej grubości, takiej, aby jej ostateczna grubość po zagęszczeniu była równa grubości projektowanej.</w:t>
      </w:r>
    </w:p>
    <w:p>
      <w:pPr>
        <w:pStyle w:val="Normal"/>
        <w:spacing w:lineRule="auto" w:line="240" w:before="0" w:after="0"/>
        <w:ind w:firstLine="284" w:left="567"/>
        <w:jc w:val="both"/>
        <w:rPr>
          <w:rFonts w:cs="Calibri"/>
          <w:sz w:val="20"/>
          <w:szCs w:val="20"/>
        </w:rPr>
      </w:pPr>
      <w:r>
        <w:rPr>
          <w:rFonts w:cs="Calibri"/>
          <w:sz w:val="20"/>
          <w:szCs w:val="20"/>
        </w:rPr>
        <w:t>Grubość pojedynczo układanej warstwy nie może przekraczać 20 cm po zagęszczeniu.</w:t>
      </w:r>
    </w:p>
    <w:p>
      <w:pPr>
        <w:pStyle w:val="Normal"/>
        <w:spacing w:lineRule="auto" w:line="240" w:before="0" w:after="0"/>
        <w:ind w:firstLine="284" w:left="567"/>
        <w:jc w:val="both"/>
        <w:rPr>
          <w:rFonts w:cs="Calibri"/>
          <w:sz w:val="20"/>
          <w:szCs w:val="20"/>
        </w:rPr>
      </w:pPr>
      <w:r>
        <w:rPr>
          <w:rFonts w:cs="Calibri"/>
          <w:sz w:val="20"/>
          <w:szCs w:val="20"/>
        </w:rPr>
        <w:t>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pPr>
        <w:pStyle w:val="Normal"/>
        <w:spacing w:lineRule="auto" w:line="240" w:before="0" w:after="0"/>
        <w:ind w:firstLine="284" w:left="567"/>
        <w:jc w:val="both"/>
        <w:rPr>
          <w:rFonts w:cs="Calibri"/>
          <w:sz w:val="20"/>
          <w:szCs w:val="20"/>
        </w:rPr>
      </w:pPr>
      <w:r>
        <w:rPr>
          <w:rFonts w:cs="Calibri"/>
          <w:sz w:val="20"/>
          <w:szCs w:val="20"/>
        </w:rPr>
        <w:t xml:space="preserve">Wilgotność mieszanki kruszywa podczas zagęszczania powinna odpowiadać wilgotności optymalnej, określonej według próby </w:t>
      </w:r>
      <w:r>
        <w:rPr>
          <w:rFonts w:cs="Calibri"/>
          <w:i/>
          <w:sz w:val="20"/>
          <w:szCs w:val="20"/>
        </w:rPr>
        <w:t>Proctora</w:t>
      </w:r>
      <w:r>
        <w:rPr>
          <w:rFonts w:cs="Calibri"/>
          <w:sz w:val="20"/>
          <w:szCs w:val="20"/>
        </w:rPr>
        <w:t>,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pPr>
        <w:pStyle w:val="Normal"/>
        <w:spacing w:lineRule="auto" w:line="240" w:before="0" w:after="0"/>
        <w:ind w:firstLine="284" w:left="567"/>
        <w:jc w:val="both"/>
        <w:rPr>
          <w:rFonts w:cs="Calibri"/>
          <w:sz w:val="20"/>
          <w:szCs w:val="20"/>
        </w:rPr>
      </w:pPr>
      <w:r>
        <w:rPr>
          <w:rFonts w:cs="Calibri"/>
          <w:sz w:val="20"/>
          <w:szCs w:val="20"/>
        </w:rPr>
        <w:t>Wskaźnik zagęszczenia podbudowy wg BN-77/8931-12 [29] powinien odpowiadać przyjętemu poziomowi wskaźnika nośności podbudowy wg tablicy 1, lp. 11.</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5.5. Odcinek próbny</w:t>
      </w:r>
    </w:p>
    <w:p>
      <w:pPr>
        <w:pStyle w:val="Normal"/>
        <w:spacing w:lineRule="auto" w:line="240" w:before="0" w:after="0"/>
        <w:ind w:firstLine="284" w:left="567"/>
        <w:jc w:val="both"/>
        <w:rPr>
          <w:rFonts w:cs="Calibri"/>
          <w:sz w:val="20"/>
          <w:szCs w:val="20"/>
        </w:rPr>
      </w:pPr>
      <w:r>
        <w:rPr>
          <w:rFonts w:cs="Calibri"/>
          <w:sz w:val="20"/>
          <w:szCs w:val="20"/>
        </w:rPr>
        <w:t>Jeżeli w SST przewidziano konieczność wykonania odcinka próbnego, to co najmniej na 3 dni przed rozpoczęciem robót, Wykonawca powinien wykonać odcinek próbny w celu:</w:t>
      </w:r>
    </w:p>
    <w:p>
      <w:pPr>
        <w:pStyle w:val="ListParagraph"/>
        <w:numPr>
          <w:ilvl w:val="0"/>
          <w:numId w:val="4"/>
        </w:numPr>
        <w:spacing w:lineRule="auto" w:line="240" w:before="0" w:after="0"/>
        <w:ind w:hanging="284" w:left="851"/>
        <w:contextualSpacing/>
        <w:jc w:val="both"/>
        <w:rPr>
          <w:rFonts w:cs="Calibri"/>
          <w:sz w:val="20"/>
          <w:szCs w:val="20"/>
        </w:rPr>
      </w:pPr>
      <w:r>
        <w:rPr>
          <w:rFonts w:cs="Calibri"/>
          <w:sz w:val="20"/>
          <w:szCs w:val="20"/>
        </w:rPr>
        <w:t>stwierdzenia czy sprzęt budowlany do mieszania, rozkładania i zagęszczania kruszywa jest właściwy,</w:t>
      </w:r>
    </w:p>
    <w:p>
      <w:pPr>
        <w:pStyle w:val="ListParagraph"/>
        <w:numPr>
          <w:ilvl w:val="0"/>
          <w:numId w:val="4"/>
        </w:numPr>
        <w:spacing w:lineRule="auto" w:line="240" w:before="0" w:after="0"/>
        <w:ind w:hanging="284" w:left="851"/>
        <w:contextualSpacing/>
        <w:jc w:val="both"/>
        <w:rPr>
          <w:rFonts w:cs="Calibri"/>
          <w:sz w:val="20"/>
          <w:szCs w:val="20"/>
        </w:rPr>
      </w:pPr>
      <w:r>
        <w:rPr>
          <w:rFonts w:cs="Calibri"/>
          <w:sz w:val="20"/>
          <w:szCs w:val="20"/>
        </w:rPr>
        <w:t>określenia grubości warstwy materiału w stanie luźnym, koniecznej do uzyskania wymaganej grubości warstwy po zagęszczeniu,</w:t>
      </w:r>
    </w:p>
    <w:p>
      <w:pPr>
        <w:pStyle w:val="ListParagraph"/>
        <w:numPr>
          <w:ilvl w:val="0"/>
          <w:numId w:val="4"/>
        </w:numPr>
        <w:spacing w:lineRule="auto" w:line="240" w:before="0" w:after="0"/>
        <w:ind w:hanging="284" w:left="851"/>
        <w:contextualSpacing/>
        <w:jc w:val="both"/>
        <w:rPr>
          <w:rFonts w:cs="Calibri"/>
          <w:sz w:val="20"/>
          <w:szCs w:val="20"/>
        </w:rPr>
      </w:pPr>
      <w:r>
        <w:rPr>
          <w:rFonts w:cs="Calibri"/>
          <w:sz w:val="20"/>
          <w:szCs w:val="20"/>
        </w:rPr>
        <w:t>określenia liczby przejść sprzętu zagęszczającego, potrzebnej do uzyskania wymaganego wskaźnika</w:t>
      </w:r>
    </w:p>
    <w:p>
      <w:pPr>
        <w:pStyle w:val="ListParagraph"/>
        <w:numPr>
          <w:ilvl w:val="0"/>
          <w:numId w:val="4"/>
        </w:numPr>
        <w:spacing w:lineRule="auto" w:line="240" w:before="0" w:after="0"/>
        <w:ind w:hanging="284" w:left="851"/>
        <w:contextualSpacing/>
        <w:jc w:val="both"/>
        <w:rPr>
          <w:rFonts w:cs="Calibri"/>
          <w:sz w:val="20"/>
          <w:szCs w:val="20"/>
        </w:rPr>
      </w:pPr>
      <w:r>
        <w:rPr>
          <w:rFonts w:cs="Calibri"/>
          <w:sz w:val="20"/>
          <w:szCs w:val="20"/>
        </w:rPr>
        <w:t>zagęszczenia.</w:t>
      </w:r>
    </w:p>
    <w:p>
      <w:pPr>
        <w:pStyle w:val="Normal"/>
        <w:spacing w:lineRule="auto" w:line="240" w:before="0" w:after="0"/>
        <w:ind w:firstLine="284" w:left="567"/>
        <w:jc w:val="both"/>
        <w:rPr>
          <w:rFonts w:cs="Calibri"/>
          <w:sz w:val="20"/>
          <w:szCs w:val="20"/>
        </w:rPr>
      </w:pPr>
      <w:r>
        <w:rPr>
          <w:rFonts w:cs="Calibri"/>
          <w:sz w:val="20"/>
          <w:szCs w:val="20"/>
        </w:rPr>
        <w:t>Na odcinku próbnym Wykonawca powinien użyć takich materiałów oraz sprzętu do mieszania, rozkładania i zagęszczania, jakie będą stosowane do wykonywania podbudowy.</w:t>
      </w:r>
    </w:p>
    <w:p>
      <w:pPr>
        <w:pStyle w:val="Normal"/>
        <w:spacing w:lineRule="auto" w:line="240" w:before="0" w:after="0"/>
        <w:ind w:firstLine="284" w:left="567"/>
        <w:jc w:val="both"/>
        <w:rPr>
          <w:rFonts w:cs="Calibri"/>
          <w:sz w:val="20"/>
          <w:szCs w:val="20"/>
        </w:rPr>
      </w:pPr>
      <w:r>
        <w:rPr>
          <w:rFonts w:cs="Calibri"/>
          <w:sz w:val="20"/>
          <w:szCs w:val="20"/>
        </w:rPr>
        <w:t>Powierzchnia odcinka próbnego powinna wynosić od 400 do 800 m</w:t>
      </w:r>
      <w:r>
        <w:rPr>
          <w:rFonts w:cs="Calibri"/>
          <w:sz w:val="20"/>
          <w:szCs w:val="20"/>
          <w:vertAlign w:val="superscript"/>
        </w:rPr>
        <w:t>2</w:t>
      </w:r>
      <w:r>
        <w:rPr>
          <w:rFonts w:cs="Calibri"/>
          <w:sz w:val="20"/>
          <w:szCs w:val="20"/>
        </w:rPr>
        <w:t>.</w:t>
      </w:r>
    </w:p>
    <w:p>
      <w:pPr>
        <w:pStyle w:val="Normal"/>
        <w:spacing w:lineRule="auto" w:line="240" w:before="0" w:after="0"/>
        <w:ind w:firstLine="284" w:left="567"/>
        <w:jc w:val="both"/>
        <w:rPr>
          <w:rFonts w:cs="Calibri"/>
          <w:sz w:val="20"/>
          <w:szCs w:val="20"/>
        </w:rPr>
      </w:pPr>
      <w:r>
        <w:rPr>
          <w:rFonts w:cs="Calibri"/>
          <w:sz w:val="20"/>
          <w:szCs w:val="20"/>
        </w:rPr>
        <w:t>Odcinek próbny powinien być zlokalizowany w miejscu wskazanym przez Inżyniera.</w:t>
      </w:r>
    </w:p>
    <w:p>
      <w:pPr>
        <w:pStyle w:val="Normal"/>
        <w:spacing w:lineRule="auto" w:line="240" w:before="0" w:after="0"/>
        <w:ind w:firstLine="284" w:left="567"/>
        <w:jc w:val="both"/>
        <w:rPr>
          <w:rFonts w:cs="Calibri"/>
          <w:sz w:val="20"/>
          <w:szCs w:val="20"/>
        </w:rPr>
      </w:pPr>
      <w:r>
        <w:rPr>
          <w:rFonts w:cs="Calibri"/>
          <w:sz w:val="20"/>
          <w:szCs w:val="20"/>
        </w:rPr>
        <w:t>Wykonawca może przystąpić do wykonywania podbudowy po zaakceptowaniu odcinka próbnego przez Inżyniera.</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5.6. Utrzymanie podbudowy</w:t>
      </w:r>
    </w:p>
    <w:p>
      <w:pPr>
        <w:pStyle w:val="Normal"/>
        <w:spacing w:lineRule="auto" w:line="240" w:before="0" w:after="0"/>
        <w:ind w:firstLine="284" w:left="567"/>
        <w:jc w:val="both"/>
        <w:rPr>
          <w:rFonts w:cs="Calibri"/>
          <w:sz w:val="20"/>
          <w:szCs w:val="20"/>
        </w:rPr>
      </w:pPr>
      <w:r>
        <w:rPr>
          <w:rFonts w:cs="Calibri"/>
          <w:sz w:val="20"/>
          <w:szCs w:val="20"/>
        </w:rPr>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6. KONTROLA JAKOŚCI ROBÓT</w:t>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sz w:val="20"/>
          <w:szCs w:val="20"/>
        </w:rPr>
      </w:pPr>
      <w:r>
        <w:rPr>
          <w:rFonts w:cs="Calibri"/>
          <w:sz w:val="20"/>
          <w:szCs w:val="20"/>
        </w:rPr>
        <w:t>6.1. Ogólne zasady kontroli jakości robót</w:t>
      </w:r>
    </w:p>
    <w:p>
      <w:pPr>
        <w:pStyle w:val="Normal"/>
        <w:spacing w:lineRule="auto" w:line="240" w:before="0" w:after="0"/>
        <w:ind w:firstLine="284" w:left="567"/>
        <w:jc w:val="both"/>
        <w:rPr>
          <w:rFonts w:cs="Calibri"/>
          <w:sz w:val="20"/>
          <w:szCs w:val="20"/>
        </w:rPr>
      </w:pPr>
      <w:r>
        <w:rPr>
          <w:rFonts w:cs="Calibri"/>
          <w:sz w:val="20"/>
          <w:szCs w:val="20"/>
        </w:rPr>
        <w:t>Ogólne zasady kontroli jakości robót podano w OST D-M-00.00.00 „Wymagania ogólne” pkt 6.</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6.2. Badania przed przystąpieniem do robót</w:t>
      </w:r>
    </w:p>
    <w:p>
      <w:pPr>
        <w:pStyle w:val="Normal"/>
        <w:spacing w:lineRule="auto" w:line="240" w:before="0" w:after="0"/>
        <w:ind w:firstLine="284" w:left="567"/>
        <w:jc w:val="both"/>
        <w:rPr>
          <w:rFonts w:cs="Calibri"/>
          <w:sz w:val="20"/>
          <w:szCs w:val="20"/>
        </w:rPr>
      </w:pPr>
      <w:r>
        <w:rPr>
          <w:rFonts w:cs="Calibri"/>
          <w:sz w:val="20"/>
          <w:szCs w:val="20"/>
        </w:rPr>
        <w:t>Przed przystąpieniem do robót Wykonawca powinien wykonać badania kruszyw przeznaczonych do wykonania robót i przedstawić wyniki tych badań Inżynierowi w celu akceptacji materiałów. Badania te powinny obejmować wszystkie właściwości określone w pkt 2.3 niniejszej OST.</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6.3. Badania w czasie robót</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6.3.1. Częstotliwość oraz zakres badań i pomiarów</w:t>
      </w:r>
    </w:p>
    <w:p>
      <w:pPr>
        <w:pStyle w:val="Normal"/>
        <w:spacing w:lineRule="auto" w:line="240" w:before="0" w:after="0"/>
        <w:ind w:firstLine="284" w:left="567"/>
        <w:jc w:val="both"/>
        <w:rPr>
          <w:rFonts w:cs="Calibri"/>
          <w:sz w:val="20"/>
          <w:szCs w:val="20"/>
        </w:rPr>
      </w:pPr>
      <w:r>
        <w:rPr>
          <w:rFonts w:cs="Calibri"/>
          <w:sz w:val="20"/>
          <w:szCs w:val="20"/>
        </w:rPr>
        <w:t>Częstotliwość oraz zakres badań podano w tablicy 2.</w:t>
      </w:r>
    </w:p>
    <w:p>
      <w:pPr>
        <w:pStyle w:val="Normal"/>
        <w:spacing w:lineRule="auto" w:line="240" w:before="0" w:after="0"/>
        <w:ind w:firstLine="284" w:left="567"/>
        <w:jc w:val="both"/>
        <w:rPr>
          <w:rFonts w:cs="Calibri"/>
          <w:i/>
          <w:i/>
          <w:sz w:val="8"/>
          <w:szCs w:val="20"/>
        </w:rPr>
      </w:pPr>
      <w:r>
        <w:rPr>
          <w:rFonts w:cs="Calibri"/>
          <w:i/>
          <w:sz w:val="8"/>
          <w:szCs w:val="20"/>
        </w:rPr>
      </w:r>
      <w:r>
        <w:br w:type="page"/>
      </w:r>
    </w:p>
    <w:p>
      <w:pPr>
        <w:pStyle w:val="Normal"/>
        <w:spacing w:lineRule="auto" w:line="240" w:before="0" w:after="0"/>
        <w:ind w:firstLine="284" w:left="567"/>
        <w:jc w:val="both"/>
        <w:rPr>
          <w:rFonts w:cs="Calibri"/>
          <w:sz w:val="18"/>
          <w:szCs w:val="20"/>
        </w:rPr>
      </w:pPr>
      <w:r>
        <w:rPr>
          <w:rFonts w:cs="Calibri"/>
          <w:sz w:val="18"/>
          <w:szCs w:val="20"/>
        </w:rPr>
        <w:t>Tablica 2. Częstotliwość ora zakres badań przy budowie podbudowy z kruszyw stabilizowanych mechanicznie</w:t>
      </w:r>
    </w:p>
    <w:p>
      <w:pPr>
        <w:pStyle w:val="Normal"/>
        <w:spacing w:lineRule="auto" w:line="240" w:before="0" w:after="0"/>
        <w:ind w:firstLine="284" w:left="567"/>
        <w:jc w:val="both"/>
        <w:rPr>
          <w:rFonts w:cs="Calibri"/>
          <w:sz w:val="8"/>
          <w:szCs w:val="20"/>
        </w:rPr>
      </w:pPr>
      <w:r>
        <w:rPr>
          <w:rFonts w:cs="Calibri"/>
          <w:sz w:val="8"/>
          <w:szCs w:val="20"/>
        </w:rPr>
      </w:r>
    </w:p>
    <w:tbl>
      <w:tblPr>
        <w:tblW w:w="8897" w:type="dxa"/>
        <w:jc w:val="left"/>
        <w:tblInd w:w="690" w:type="dxa"/>
        <w:tblLayout w:type="fixed"/>
        <w:tblCellMar>
          <w:top w:w="0" w:type="dxa"/>
          <w:left w:w="108" w:type="dxa"/>
          <w:bottom w:w="0" w:type="dxa"/>
          <w:right w:w="108" w:type="dxa"/>
        </w:tblCellMar>
        <w:tblLook w:val="00a0"/>
      </w:tblPr>
      <w:tblGrid>
        <w:gridCol w:w="392"/>
        <w:gridCol w:w="2977"/>
        <w:gridCol w:w="2693"/>
        <w:gridCol w:w="2834"/>
      </w:tblGrid>
      <w:tr>
        <w:trPr/>
        <w:tc>
          <w:tcPr>
            <w:tcW w:w="392" w:type="dxa"/>
            <w:vMerge w:val="restart"/>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b/>
                <w:sz w:val="14"/>
                <w:szCs w:val="16"/>
              </w:rPr>
            </w:pPr>
            <w:r>
              <w:rPr>
                <w:rFonts w:cs="Calibri"/>
                <w:b/>
                <w:sz w:val="14"/>
                <w:szCs w:val="16"/>
              </w:rPr>
              <w:t>Lp.</w:t>
            </w:r>
          </w:p>
        </w:tc>
        <w:tc>
          <w:tcPr>
            <w:tcW w:w="2977" w:type="dxa"/>
            <w:vMerge w:val="restart"/>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b/>
                <w:sz w:val="14"/>
                <w:szCs w:val="16"/>
              </w:rPr>
            </w:pPr>
            <w:r>
              <w:rPr>
                <w:rFonts w:cs="Calibri"/>
                <w:b/>
                <w:sz w:val="14"/>
                <w:szCs w:val="16"/>
              </w:rPr>
              <w:t>Wyszczególnienie badań</w:t>
            </w:r>
          </w:p>
        </w:tc>
        <w:tc>
          <w:tcPr>
            <w:tcW w:w="5527" w:type="dxa"/>
            <w:gridSpan w:val="2"/>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b/>
                <w:sz w:val="14"/>
                <w:szCs w:val="16"/>
              </w:rPr>
            </w:pPr>
            <w:r>
              <w:rPr>
                <w:rFonts w:cs="Calibri"/>
                <w:b/>
                <w:sz w:val="14"/>
                <w:szCs w:val="16"/>
              </w:rPr>
              <w:t>Częstotliwość badań</w:t>
            </w:r>
          </w:p>
        </w:tc>
      </w:tr>
      <w:tr>
        <w:trPr>
          <w:trHeight w:val="353" w:hRule="atLeast"/>
        </w:trPr>
        <w:tc>
          <w:tcPr>
            <w:tcW w:w="392"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b/>
                <w:sz w:val="14"/>
                <w:szCs w:val="16"/>
              </w:rPr>
            </w:pPr>
            <w:r>
              <w:rPr>
                <w:rFonts w:cs="Calibri"/>
                <w:b/>
                <w:sz w:val="14"/>
                <w:szCs w:val="16"/>
              </w:rPr>
            </w:r>
          </w:p>
        </w:tc>
        <w:tc>
          <w:tcPr>
            <w:tcW w:w="2977"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b/>
                <w:sz w:val="14"/>
                <w:szCs w:val="16"/>
              </w:rPr>
            </w:pPr>
            <w:r>
              <w:rPr>
                <w:rFonts w:cs="Calibri"/>
                <w:b/>
                <w:sz w:val="14"/>
                <w:szCs w:val="16"/>
              </w:rPr>
            </w:r>
          </w:p>
        </w:tc>
        <w:tc>
          <w:tcPr>
            <w:tcW w:w="2693"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b/>
                <w:sz w:val="14"/>
                <w:szCs w:val="16"/>
              </w:rPr>
            </w:pPr>
            <w:r>
              <w:rPr>
                <w:rFonts w:cs="Calibri"/>
                <w:b/>
                <w:sz w:val="14"/>
                <w:szCs w:val="16"/>
              </w:rPr>
              <w:t xml:space="preserve">Minimalna liczba badań </w:t>
              <w:br/>
              <w:t>na dziennej działce roboczej</w:t>
            </w:r>
          </w:p>
        </w:tc>
        <w:tc>
          <w:tcPr>
            <w:tcW w:w="2834"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b/>
                <w:sz w:val="14"/>
                <w:szCs w:val="16"/>
              </w:rPr>
            </w:pPr>
            <w:r>
              <w:rPr>
                <w:rFonts w:cs="Calibri"/>
                <w:b/>
                <w:sz w:val="14"/>
                <w:szCs w:val="16"/>
              </w:rPr>
              <w:t>Maksymalna powierzchnia podbudowy</w:t>
              <w:br/>
              <w:t>przypadająca na jedno badanie (m</w:t>
            </w:r>
            <w:r>
              <w:rPr>
                <w:rFonts w:cs="Calibri"/>
                <w:b/>
                <w:sz w:val="14"/>
                <w:szCs w:val="16"/>
                <w:vertAlign w:val="superscript"/>
              </w:rPr>
              <w:t>2</w:t>
            </w:r>
            <w:r>
              <w:rPr>
                <w:rFonts w:cs="Calibri"/>
                <w:b/>
                <w:sz w:val="14"/>
                <w:szCs w:val="16"/>
              </w:rPr>
              <w:t>)</w:t>
            </w:r>
          </w:p>
        </w:tc>
      </w:tr>
      <w:tr>
        <w:trPr/>
        <w:tc>
          <w:tcPr>
            <w:tcW w:w="392" w:type="dxa"/>
            <w:tcBorders>
              <w:top w:val="doub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w:t>
            </w:r>
          </w:p>
        </w:tc>
        <w:tc>
          <w:tcPr>
            <w:tcW w:w="2977"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Uziarnienie mieszanki</w:t>
            </w:r>
          </w:p>
        </w:tc>
        <w:tc>
          <w:tcPr>
            <w:tcW w:w="2693" w:type="dxa"/>
            <w:vMerge w:val="restart"/>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2</w:t>
            </w:r>
          </w:p>
        </w:tc>
        <w:tc>
          <w:tcPr>
            <w:tcW w:w="2834" w:type="dxa"/>
            <w:vMerge w:val="restart"/>
            <w:tcBorders>
              <w:top w:val="doub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600</w:t>
            </w:r>
          </w:p>
        </w:tc>
      </w:tr>
      <w:tr>
        <w:trPr/>
        <w:tc>
          <w:tcPr>
            <w:tcW w:w="392"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2.</w:t>
            </w:r>
          </w:p>
        </w:tc>
        <w:tc>
          <w:tcPr>
            <w:tcW w:w="297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Wilgotność mieszanki</w:t>
            </w:r>
          </w:p>
        </w:tc>
        <w:tc>
          <w:tcPr>
            <w:tcW w:w="269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r>
          </w:p>
        </w:tc>
        <w:tc>
          <w:tcPr>
            <w:tcW w:w="2834" w:type="dxa"/>
            <w:vMerge w:val="continue"/>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r>
          </w:p>
        </w:tc>
      </w:tr>
      <w:tr>
        <w:trPr/>
        <w:tc>
          <w:tcPr>
            <w:tcW w:w="392"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3.</w:t>
            </w:r>
          </w:p>
        </w:tc>
        <w:tc>
          <w:tcPr>
            <w:tcW w:w="297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Zagęszczenie warstwy</w:t>
            </w:r>
          </w:p>
        </w:tc>
        <w:tc>
          <w:tcPr>
            <w:tcW w:w="5527" w:type="dxa"/>
            <w:gridSpan w:val="2"/>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10 próbek na 10000 m</w:t>
            </w:r>
            <w:r>
              <w:rPr>
                <w:rFonts w:cs="Calibri"/>
                <w:sz w:val="14"/>
                <w:szCs w:val="16"/>
                <w:vertAlign w:val="superscript"/>
              </w:rPr>
              <w:t>2</w:t>
            </w:r>
          </w:p>
        </w:tc>
      </w:tr>
      <w:tr>
        <w:trPr/>
        <w:tc>
          <w:tcPr>
            <w:tcW w:w="392" w:type="dxa"/>
            <w:tcBorders>
              <w:top w:val="single" w:sz="4" w:space="0" w:color="000000"/>
              <w:left w:val="double" w:sz="4" w:space="0" w:color="000000"/>
              <w:bottom w:val="doub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4.</w:t>
            </w:r>
          </w:p>
        </w:tc>
        <w:tc>
          <w:tcPr>
            <w:tcW w:w="2977"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Badanie właściwości kruszywa wg Tab. 1 pkt 2.3.2</w:t>
            </w:r>
          </w:p>
        </w:tc>
        <w:tc>
          <w:tcPr>
            <w:tcW w:w="5527" w:type="dxa"/>
            <w:gridSpan w:val="2"/>
            <w:tcBorders>
              <w:top w:val="single" w:sz="4" w:space="0" w:color="000000"/>
              <w:left w:val="sing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dla każdej partii kruszywa i przy każdej zmianie kruszywa</w:t>
            </w:r>
          </w:p>
        </w:tc>
      </w:tr>
    </w:tbl>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6.3.2. Uziarnienie mieszanki</w:t>
      </w:r>
    </w:p>
    <w:p>
      <w:pPr>
        <w:pStyle w:val="Normal"/>
        <w:spacing w:lineRule="auto" w:line="240" w:before="0" w:after="0"/>
        <w:ind w:firstLine="284" w:left="567"/>
        <w:jc w:val="both"/>
        <w:rPr>
          <w:rFonts w:cs="Calibri"/>
          <w:sz w:val="20"/>
          <w:szCs w:val="20"/>
        </w:rPr>
      </w:pPr>
      <w:r>
        <w:rPr>
          <w:rFonts w:cs="Calibri"/>
          <w:sz w:val="20"/>
          <w:szCs w:val="20"/>
        </w:rPr>
        <w:t>Uziarnienie mieszanki powinno być zgodne z wymaganiami podanymi w pkt 2.3. Próbki należy pobierać w sposób losowy, z rozłożonej warstwy, przed jej zagęszczeniem. Wyniki badań powinny być na bieżąco przekazywane Inżynierowi.</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6.3.3. Wilgotność mieszanki</w:t>
      </w:r>
    </w:p>
    <w:p>
      <w:pPr>
        <w:pStyle w:val="Normal"/>
        <w:spacing w:lineRule="auto" w:line="240" w:before="0" w:after="0"/>
        <w:ind w:firstLine="284" w:left="567"/>
        <w:jc w:val="both"/>
        <w:rPr>
          <w:rFonts w:cs="Calibri"/>
          <w:sz w:val="20"/>
          <w:szCs w:val="20"/>
        </w:rPr>
      </w:pPr>
      <w:r>
        <w:rPr>
          <w:rFonts w:cs="Calibri"/>
          <w:sz w:val="20"/>
          <w:szCs w:val="20"/>
        </w:rPr>
        <w:t xml:space="preserve">Wilgotność mieszanki powinna odpowiadać wilgotności optymalnej, określonej według próby </w:t>
      </w:r>
      <w:r>
        <w:rPr>
          <w:rFonts w:cs="Calibri"/>
          <w:i/>
          <w:sz w:val="20"/>
          <w:szCs w:val="20"/>
        </w:rPr>
        <w:t>Proctora</w:t>
      </w:r>
      <w:r>
        <w:rPr>
          <w:rFonts w:cs="Calibri"/>
          <w:sz w:val="20"/>
          <w:szCs w:val="20"/>
        </w:rPr>
        <w:t>, zgodnie z PN-B-04481 [1] (metoda II), z tolerancją +10% -20%.</w:t>
      </w:r>
    </w:p>
    <w:p>
      <w:pPr>
        <w:pStyle w:val="Normal"/>
        <w:spacing w:lineRule="auto" w:line="240" w:before="0" w:after="0"/>
        <w:ind w:firstLine="284" w:left="567"/>
        <w:jc w:val="both"/>
        <w:rPr>
          <w:rFonts w:cs="Calibri"/>
          <w:sz w:val="20"/>
          <w:szCs w:val="20"/>
        </w:rPr>
      </w:pPr>
      <w:r>
        <w:rPr>
          <w:rFonts w:cs="Calibri"/>
          <w:sz w:val="20"/>
          <w:szCs w:val="20"/>
        </w:rPr>
        <w:t>Wilgotność należy określić według PN-B-06714-17 [5].</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6.3.4. Zagęszczenie podbudowy</w:t>
      </w:r>
    </w:p>
    <w:p>
      <w:pPr>
        <w:pStyle w:val="Normal"/>
        <w:spacing w:lineRule="auto" w:line="240" w:before="0" w:after="0"/>
        <w:ind w:firstLine="284" w:left="567"/>
        <w:jc w:val="both"/>
        <w:rPr>
          <w:rFonts w:cs="Calibri"/>
          <w:sz w:val="20"/>
          <w:szCs w:val="20"/>
        </w:rPr>
      </w:pPr>
      <w:r>
        <w:rPr>
          <w:rFonts w:cs="Calibri"/>
          <w:sz w:val="20"/>
          <w:szCs w:val="20"/>
        </w:rPr>
        <w:t>Zagęszczenie każdej warstwy powinno odbywać się aż do osiągnięcia wymaganego wskaźnika zagęszczenia.</w:t>
      </w:r>
    </w:p>
    <w:p>
      <w:pPr>
        <w:pStyle w:val="Normal"/>
        <w:spacing w:lineRule="auto" w:line="240" w:before="0" w:after="0"/>
        <w:ind w:firstLine="284" w:left="567"/>
        <w:jc w:val="both"/>
        <w:rPr>
          <w:rFonts w:cs="Calibri"/>
          <w:sz w:val="20"/>
          <w:szCs w:val="20"/>
        </w:rPr>
      </w:pPr>
      <w:r>
        <w:rPr>
          <w:rFonts w:cs="Calibri"/>
          <w:sz w:val="20"/>
          <w:szCs w:val="20"/>
        </w:rPr>
        <w:t>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1000 m</w:t>
      </w:r>
      <w:r>
        <w:rPr>
          <w:rFonts w:cs="Calibri"/>
          <w:sz w:val="20"/>
          <w:szCs w:val="20"/>
          <w:vertAlign w:val="superscript"/>
        </w:rPr>
        <w:t>2</w:t>
      </w:r>
      <w:r>
        <w:rPr>
          <w:rFonts w:cs="Calibri"/>
          <w:sz w:val="20"/>
          <w:szCs w:val="20"/>
        </w:rPr>
        <w:t>, lub według zaleceń Inżyniera.</w:t>
      </w:r>
    </w:p>
    <w:p>
      <w:pPr>
        <w:pStyle w:val="Normal"/>
        <w:spacing w:lineRule="auto" w:line="240" w:before="0" w:after="0"/>
        <w:ind w:firstLine="284" w:left="567"/>
        <w:jc w:val="both"/>
        <w:rPr>
          <w:rFonts w:cs="Calibri"/>
          <w:sz w:val="20"/>
          <w:szCs w:val="20"/>
        </w:rPr>
      </w:pPr>
      <w:r>
        <w:rPr>
          <w:rFonts w:cs="Calibri"/>
          <w:sz w:val="20"/>
          <w:szCs w:val="20"/>
        </w:rPr>
        <w:t>Zagęszczenie podbudowy stabilizowanej mechanicznie należy uznać za prawidłowe, gdy stosunek wtórnego modułu E2 do pierwotnego modułu odkształcenia E1 jest nie większy od 2,2 dla każdej warstwy konstrukcyjnej podbudowy.</w:t>
      </w:r>
    </w:p>
    <w:p>
      <w:pPr>
        <w:pStyle w:val="Normal"/>
        <w:spacing w:lineRule="auto" w:line="240" w:before="0" w:after="0"/>
        <w:ind w:firstLine="284" w:left="567"/>
        <w:jc w:val="center"/>
        <w:rPr>
          <w:rFonts w:cs="Calibri"/>
          <w:sz w:val="24"/>
          <w:szCs w:val="24"/>
        </w:rPr>
      </w:pPr>
      <w:r>
        <w:fldChar w:fldCharType="begin"/>
      </w:r>
      <w:r>
        <w:rPr/>
        <w:instrText xml:space="preserve">QUOTE</w:instrText>
      </w:r>
      <w:r>
        <w:rPr/>
      </w:r>
      <w:r>
        <w:rPr/>
        <w:drawing>
          <wp:inline distT="0" distB="0" distL="0" distR="0">
            <wp:extent cx="590550" cy="323850"/>
            <wp:effectExtent l="0" t="0" r="0" b="0"/>
            <wp:docPr id="4" name="Obraz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4" descr=""/>
                    <pic:cNvPicPr>
                      <a:picLocks noChangeAspect="1" noChangeArrowheads="1"/>
                    </pic:cNvPicPr>
                  </pic:nvPicPr>
                  <pic:blipFill>
                    <a:blip r:embed="rId5"/>
                    <a:stretch>
                      <a:fillRect/>
                    </a:stretch>
                  </pic:blipFill>
                  <pic:spPr bwMode="auto">
                    <a:xfrm>
                      <a:off x="0" y="0"/>
                      <a:ext cx="590550" cy="323850"/>
                    </a:xfrm>
                    <a:prstGeom prst="rect">
                      <a:avLst/>
                    </a:prstGeom>
                  </pic:spPr>
                </pic:pic>
              </a:graphicData>
            </a:graphic>
          </wp:inline>
        </w:drawing>
      </w:r>
      <w:r>
        <w:rPr>
          <w:sz w:val="24"/>
          <w:szCs w:val="24"/>
        </w:rPr>
        <w:fldChar w:fldCharType="separate"/>
      </w:r>
      <w:r>
        <w:rPr>
          <w:sz w:val="24"/>
          <w:szCs w:val="24"/>
        </w:rPr>
      </w:r>
      <w:r>
        <w:rPr/>
        <w:drawing>
          <wp:inline distT="0" distB="0" distL="0" distR="0">
            <wp:extent cx="590550" cy="323850"/>
            <wp:effectExtent l="0" t="0" r="0" b="0"/>
            <wp:docPr id="5" name="Obraz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5" descr=""/>
                    <pic:cNvPicPr>
                      <a:picLocks noChangeAspect="1" noChangeArrowheads="1"/>
                    </pic:cNvPicPr>
                  </pic:nvPicPr>
                  <pic:blipFill>
                    <a:blip r:embed="rId6"/>
                    <a:stretch>
                      <a:fillRect/>
                    </a:stretch>
                  </pic:blipFill>
                  <pic:spPr bwMode="auto">
                    <a:xfrm>
                      <a:off x="0" y="0"/>
                      <a:ext cx="590550" cy="323850"/>
                    </a:xfrm>
                    <a:prstGeom prst="rect">
                      <a:avLst/>
                    </a:prstGeom>
                  </pic:spPr>
                </pic:pic>
              </a:graphicData>
            </a:graphic>
          </wp:inline>
        </w:drawing>
      </w:r>
      <w:r>
        <w:rPr>
          <w:sz w:val="24"/>
          <w:szCs w:val="24"/>
        </w:rPr>
      </w:r>
      <w:r>
        <w:rPr>
          <w:sz w:val="24"/>
          <w:szCs w:val="24"/>
        </w:rPr>
        <w:fldChar w:fldCharType="end"/>
      </w:r>
      <w:r>
        <w:rPr>
          <w:rFonts w:cs="Calibri"/>
          <w:sz w:val="24"/>
          <w:szCs w:val="24"/>
        </w:rPr>
        <w:t xml:space="preserve">   </w:t>
      </w:r>
      <w:r>
        <w:rPr>
          <w:rFonts w:cs="Calibri"/>
          <w:sz w:val="20"/>
          <w:szCs w:val="24"/>
        </w:rPr>
        <w:t xml:space="preserve"> </w:t>
      </w:r>
    </w:p>
    <w:p>
      <w:pPr>
        <w:pStyle w:val="Normal"/>
        <w:spacing w:lineRule="auto" w:line="240" w:before="0" w:after="0"/>
        <w:ind w:left="426"/>
        <w:jc w:val="both"/>
        <w:rPr>
          <w:rFonts w:cs="Calibri"/>
          <w:sz w:val="20"/>
          <w:szCs w:val="20"/>
        </w:rPr>
      </w:pPr>
      <w:r>
        <w:rPr>
          <w:rFonts w:cs="Calibri"/>
          <w:sz w:val="20"/>
          <w:szCs w:val="20"/>
        </w:rPr>
        <w:t>6.3.5. Właściwości kruszywa</w:t>
      </w:r>
    </w:p>
    <w:p>
      <w:pPr>
        <w:pStyle w:val="Normal"/>
        <w:spacing w:lineRule="auto" w:line="240" w:before="0" w:after="0"/>
        <w:ind w:firstLine="284" w:left="567"/>
        <w:jc w:val="both"/>
        <w:rPr>
          <w:rFonts w:cs="Calibri"/>
          <w:sz w:val="20"/>
          <w:szCs w:val="20"/>
        </w:rPr>
      </w:pPr>
      <w:r>
        <w:rPr>
          <w:rFonts w:cs="Calibri"/>
          <w:sz w:val="20"/>
          <w:szCs w:val="20"/>
        </w:rPr>
        <w:t>Badania kruszywa powinny obejmować ocenę wszystkich właściwości określonych w pkt 2.3.2.</w:t>
      </w:r>
    </w:p>
    <w:p>
      <w:pPr>
        <w:pStyle w:val="Normal"/>
        <w:spacing w:lineRule="auto" w:line="240" w:before="0" w:after="0"/>
        <w:ind w:firstLine="284" w:left="567"/>
        <w:jc w:val="both"/>
        <w:rPr>
          <w:rFonts w:cs="Calibri"/>
          <w:sz w:val="20"/>
          <w:szCs w:val="20"/>
        </w:rPr>
      </w:pPr>
      <w:r>
        <w:rPr>
          <w:rFonts w:cs="Calibri"/>
          <w:sz w:val="20"/>
          <w:szCs w:val="20"/>
        </w:rPr>
        <w:t>Próbki do badań pełnych powinny być pobierane przez Wykonawcę w sposób losowy w obecności Inżyniera.</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6.4. Wymagania dotyczące cech geometrycznych podbudowy</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6.4.1. Częstotliwość oraz zakres pomiarów</w:t>
      </w:r>
    </w:p>
    <w:p>
      <w:pPr>
        <w:pStyle w:val="Normal"/>
        <w:spacing w:lineRule="auto" w:line="240" w:before="0" w:after="0"/>
        <w:ind w:firstLine="284" w:left="567"/>
        <w:jc w:val="both"/>
        <w:rPr>
          <w:rFonts w:cs="Calibri"/>
          <w:sz w:val="20"/>
          <w:szCs w:val="20"/>
        </w:rPr>
      </w:pPr>
      <w:r>
        <w:rPr>
          <w:rFonts w:cs="Calibri"/>
          <w:sz w:val="20"/>
          <w:szCs w:val="20"/>
        </w:rPr>
        <w:t xml:space="preserve">Częstotliwość oraz zakres pomiarów dotyczących cech geometrycznych podbudowy podano </w:t>
        <w:br/>
        <w:t>w tablicy 3.</w:t>
      </w:r>
    </w:p>
    <w:p>
      <w:pPr>
        <w:pStyle w:val="Normal"/>
        <w:spacing w:lineRule="auto" w:line="240" w:before="0" w:after="0"/>
        <w:ind w:firstLine="284" w:left="567"/>
        <w:jc w:val="both"/>
        <w:rPr>
          <w:rFonts w:cs="Calibri"/>
          <w:sz w:val="12"/>
          <w:szCs w:val="20"/>
        </w:rPr>
      </w:pPr>
      <w:r>
        <w:rPr>
          <w:rFonts w:cs="Calibri"/>
          <w:sz w:val="12"/>
          <w:szCs w:val="20"/>
        </w:rPr>
      </w:r>
    </w:p>
    <w:p>
      <w:pPr>
        <w:pStyle w:val="Normal"/>
        <w:spacing w:lineRule="auto" w:line="240" w:before="0" w:after="0"/>
        <w:ind w:left="567"/>
        <w:jc w:val="both"/>
        <w:rPr>
          <w:rFonts w:cs="Calibri"/>
          <w:i/>
          <w:i/>
          <w:sz w:val="18"/>
          <w:szCs w:val="20"/>
        </w:rPr>
      </w:pPr>
      <w:r>
        <w:rPr>
          <w:rFonts w:cs="Calibri"/>
          <w:i/>
          <w:sz w:val="18"/>
          <w:szCs w:val="20"/>
        </w:rPr>
        <w:t>Tablica 3. Częstotliwość oraz zakres pomiarów wykonanej podbudowy z kruszywa stabilizowanego mechanicznie</w:t>
      </w:r>
    </w:p>
    <w:p>
      <w:pPr>
        <w:pStyle w:val="Normal"/>
        <w:spacing w:lineRule="auto" w:line="240" w:before="0" w:after="0"/>
        <w:ind w:left="567"/>
        <w:jc w:val="both"/>
        <w:rPr>
          <w:rFonts w:cs="Calibri"/>
          <w:i/>
          <w:i/>
          <w:sz w:val="18"/>
          <w:szCs w:val="20"/>
        </w:rPr>
      </w:pPr>
      <w:r>
        <w:rPr>
          <w:rFonts w:cs="Calibri"/>
          <w:i/>
          <w:sz w:val="18"/>
          <w:szCs w:val="20"/>
        </w:rPr>
      </w:r>
    </w:p>
    <w:tbl>
      <w:tblPr>
        <w:tblW w:w="8755" w:type="dxa"/>
        <w:jc w:val="left"/>
        <w:tblInd w:w="690" w:type="dxa"/>
        <w:tblLayout w:type="fixed"/>
        <w:tblCellMar>
          <w:top w:w="0" w:type="dxa"/>
          <w:left w:w="108" w:type="dxa"/>
          <w:bottom w:w="0" w:type="dxa"/>
          <w:right w:w="108" w:type="dxa"/>
        </w:tblCellMar>
        <w:tblLook w:val="00a0"/>
      </w:tblPr>
      <w:tblGrid>
        <w:gridCol w:w="675"/>
        <w:gridCol w:w="3119"/>
        <w:gridCol w:w="4961"/>
      </w:tblGrid>
      <w:tr>
        <w:trPr>
          <w:trHeight w:val="271" w:hRule="atLeast"/>
        </w:trPr>
        <w:tc>
          <w:tcPr>
            <w:tcW w:w="675"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20"/>
              </w:rPr>
            </w:pPr>
            <w:r>
              <w:rPr>
                <w:rFonts w:cs="Calibri"/>
                <w:sz w:val="14"/>
                <w:szCs w:val="20"/>
              </w:rPr>
              <w:t>Lp.</w:t>
            </w:r>
          </w:p>
        </w:tc>
        <w:tc>
          <w:tcPr>
            <w:tcW w:w="3119"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20"/>
              </w:rPr>
            </w:pPr>
            <w:r>
              <w:rPr>
                <w:rFonts w:cs="Calibri"/>
                <w:sz w:val="14"/>
                <w:szCs w:val="20"/>
              </w:rPr>
              <w:t>Wyszczególnienie badań i pomiarów</w:t>
            </w:r>
          </w:p>
        </w:tc>
        <w:tc>
          <w:tcPr>
            <w:tcW w:w="4961"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20"/>
              </w:rPr>
            </w:pPr>
            <w:r>
              <w:rPr>
                <w:rFonts w:cs="Calibri"/>
                <w:sz w:val="14"/>
                <w:szCs w:val="20"/>
              </w:rPr>
              <w:t>Maksymalna częstotliwość pomiarów</w:t>
            </w:r>
          </w:p>
        </w:tc>
      </w:tr>
      <w:tr>
        <w:trPr/>
        <w:tc>
          <w:tcPr>
            <w:tcW w:w="675" w:type="dxa"/>
            <w:tcBorders>
              <w:top w:val="doub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1.</w:t>
            </w:r>
          </w:p>
        </w:tc>
        <w:tc>
          <w:tcPr>
            <w:tcW w:w="3119"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Szerokość podbudowy</w:t>
            </w:r>
          </w:p>
        </w:tc>
        <w:tc>
          <w:tcPr>
            <w:tcW w:w="4961" w:type="dxa"/>
            <w:tcBorders>
              <w:top w:val="doub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4"/>
                <w:szCs w:val="20"/>
              </w:rPr>
            </w:pPr>
            <w:r>
              <w:rPr>
                <w:rFonts w:cs="Calibri"/>
                <w:sz w:val="14"/>
                <w:szCs w:val="20"/>
              </w:rPr>
              <w:t>10 x / 1 km</w:t>
            </w:r>
          </w:p>
        </w:tc>
      </w:tr>
      <w:tr>
        <w:trPr/>
        <w:tc>
          <w:tcPr>
            <w:tcW w:w="675"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2.</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Równość podłużna</w:t>
            </w:r>
          </w:p>
        </w:tc>
        <w:tc>
          <w:tcPr>
            <w:tcW w:w="4961"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rPr>
                <w:rFonts w:cs="Calibri"/>
                <w:sz w:val="14"/>
                <w:szCs w:val="20"/>
              </w:rPr>
            </w:pPr>
            <w:r>
              <w:rPr>
                <w:rFonts w:cs="Calibri"/>
                <w:sz w:val="14"/>
                <w:szCs w:val="20"/>
              </w:rPr>
              <w:t>- w sposób ciągły plantografem albo co 20 m łatą na każdym pasie ruchu</w:t>
            </w:r>
          </w:p>
        </w:tc>
      </w:tr>
      <w:tr>
        <w:trPr/>
        <w:tc>
          <w:tcPr>
            <w:tcW w:w="675"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3.</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Równość poprzeczna</w:t>
            </w:r>
          </w:p>
        </w:tc>
        <w:tc>
          <w:tcPr>
            <w:tcW w:w="4961"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4"/>
                <w:szCs w:val="20"/>
              </w:rPr>
            </w:pPr>
            <w:r>
              <w:rPr>
                <w:rFonts w:cs="Calibri"/>
                <w:sz w:val="14"/>
                <w:szCs w:val="20"/>
              </w:rPr>
              <w:t>10 x / 1 km</w:t>
            </w:r>
          </w:p>
        </w:tc>
      </w:tr>
      <w:tr>
        <w:trPr/>
        <w:tc>
          <w:tcPr>
            <w:tcW w:w="675"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4.</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 xml:space="preserve">Spadki poprzeczne </w:t>
            </w:r>
            <w:r>
              <w:rPr>
                <w:rFonts w:cs="Calibri"/>
                <w:sz w:val="14"/>
                <w:szCs w:val="20"/>
                <w:vertAlign w:val="superscript"/>
              </w:rPr>
              <w:t>*)</w:t>
            </w:r>
          </w:p>
        </w:tc>
        <w:tc>
          <w:tcPr>
            <w:tcW w:w="4961"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4"/>
                <w:szCs w:val="20"/>
              </w:rPr>
            </w:pPr>
            <w:r>
              <w:rPr>
                <w:rFonts w:cs="Calibri"/>
                <w:sz w:val="14"/>
                <w:szCs w:val="20"/>
              </w:rPr>
              <w:t>10 x / 1 km</w:t>
            </w:r>
          </w:p>
        </w:tc>
      </w:tr>
      <w:tr>
        <w:trPr/>
        <w:tc>
          <w:tcPr>
            <w:tcW w:w="675"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.5</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Rzędne wysokościowe</w:t>
            </w:r>
          </w:p>
        </w:tc>
        <w:tc>
          <w:tcPr>
            <w:tcW w:w="4961"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4"/>
                <w:szCs w:val="20"/>
              </w:rPr>
            </w:pPr>
            <w:r>
              <w:rPr>
                <w:rFonts w:cs="Calibri"/>
                <w:sz w:val="14"/>
                <w:szCs w:val="20"/>
              </w:rPr>
              <w:t>co 100 m</w:t>
            </w:r>
          </w:p>
        </w:tc>
      </w:tr>
      <w:tr>
        <w:trPr/>
        <w:tc>
          <w:tcPr>
            <w:tcW w:w="675"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6.</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 xml:space="preserve">Ukształtowanie osi w planie </w:t>
            </w:r>
            <w:r>
              <w:rPr>
                <w:rFonts w:cs="Calibri"/>
                <w:sz w:val="14"/>
                <w:szCs w:val="20"/>
                <w:vertAlign w:val="superscript"/>
              </w:rPr>
              <w:t>*)</w:t>
            </w:r>
          </w:p>
        </w:tc>
        <w:tc>
          <w:tcPr>
            <w:tcW w:w="4961"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4"/>
                <w:szCs w:val="20"/>
              </w:rPr>
            </w:pPr>
            <w:r>
              <w:rPr>
                <w:rFonts w:cs="Calibri"/>
                <w:sz w:val="14"/>
                <w:szCs w:val="20"/>
              </w:rPr>
              <w:t>co 100 m</w:t>
            </w:r>
          </w:p>
        </w:tc>
      </w:tr>
      <w:tr>
        <w:trPr/>
        <w:tc>
          <w:tcPr>
            <w:tcW w:w="675"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7.</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Grubość podbudowy</w:t>
            </w:r>
          </w:p>
        </w:tc>
        <w:tc>
          <w:tcPr>
            <w:tcW w:w="4961"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4"/>
                <w:szCs w:val="20"/>
              </w:rPr>
            </w:pPr>
            <w:r>
              <w:rPr>
                <w:rFonts w:cs="Calibri"/>
                <w:sz w:val="14"/>
                <w:szCs w:val="20"/>
              </w:rPr>
              <w:t>Podczas budowy:</w:t>
            </w:r>
          </w:p>
          <w:p>
            <w:pPr>
              <w:pStyle w:val="Normal"/>
              <w:spacing w:lineRule="auto" w:line="240" w:before="0" w:after="0"/>
              <w:rPr>
                <w:rFonts w:cs="Calibri"/>
                <w:sz w:val="14"/>
                <w:szCs w:val="20"/>
              </w:rPr>
            </w:pPr>
            <w:r>
              <w:rPr>
                <w:rFonts w:cs="Calibri"/>
                <w:sz w:val="14"/>
                <w:szCs w:val="20"/>
              </w:rPr>
              <w:t>- w 3 punktach na każdej działce roboczej, lecz nie rzadziej niż raz na 400 m</w:t>
            </w:r>
            <w:r>
              <w:rPr>
                <w:rFonts w:cs="Calibri"/>
                <w:sz w:val="14"/>
                <w:szCs w:val="20"/>
                <w:vertAlign w:val="superscript"/>
              </w:rPr>
              <w:t>2</w:t>
            </w:r>
            <w:r>
              <w:rPr>
                <w:rFonts w:cs="Calibri"/>
                <w:sz w:val="14"/>
                <w:szCs w:val="20"/>
              </w:rPr>
              <w:t>;</w:t>
            </w:r>
          </w:p>
          <w:p>
            <w:pPr>
              <w:pStyle w:val="Normal"/>
              <w:spacing w:lineRule="auto" w:line="240" w:before="0" w:after="0"/>
              <w:rPr>
                <w:rFonts w:cs="Calibri"/>
                <w:sz w:val="14"/>
                <w:szCs w:val="20"/>
              </w:rPr>
            </w:pPr>
            <w:r>
              <w:rPr>
                <w:rFonts w:cs="Calibri"/>
                <w:sz w:val="14"/>
                <w:szCs w:val="20"/>
              </w:rPr>
              <w:t>- w 3 punktach, lecz nie rzadziej niż raz na 400 m</w:t>
            </w:r>
            <w:r>
              <w:rPr>
                <w:rFonts w:cs="Calibri"/>
                <w:sz w:val="14"/>
                <w:szCs w:val="20"/>
                <w:vertAlign w:val="superscript"/>
              </w:rPr>
              <w:t>2</w:t>
            </w:r>
            <w:r>
              <w:rPr>
                <w:rFonts w:cs="Calibri"/>
                <w:sz w:val="14"/>
                <w:szCs w:val="20"/>
              </w:rPr>
              <w:t>;</w:t>
            </w:r>
          </w:p>
        </w:tc>
      </w:tr>
      <w:tr>
        <w:trPr/>
        <w:tc>
          <w:tcPr>
            <w:tcW w:w="675" w:type="dxa"/>
            <w:tcBorders>
              <w:top w:val="single" w:sz="4" w:space="0" w:color="000000"/>
              <w:left w:val="double" w:sz="4" w:space="0" w:color="000000"/>
              <w:bottom w:val="doub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8.</w:t>
            </w:r>
          </w:p>
        </w:tc>
        <w:tc>
          <w:tcPr>
            <w:tcW w:w="3119"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Nośność podbudowy</w:t>
            </w:r>
          </w:p>
          <w:p>
            <w:pPr>
              <w:pStyle w:val="Normal"/>
              <w:spacing w:lineRule="auto" w:line="240" w:before="0" w:after="0"/>
              <w:ind w:left="743"/>
              <w:rPr>
                <w:rFonts w:cs="Calibri"/>
                <w:sz w:val="14"/>
                <w:szCs w:val="20"/>
              </w:rPr>
            </w:pPr>
            <w:r>
              <w:rPr>
                <w:rFonts w:cs="Calibri"/>
                <w:sz w:val="14"/>
                <w:szCs w:val="20"/>
              </w:rPr>
              <w:t>- moduł odkształcenia</w:t>
            </w:r>
          </w:p>
          <w:p>
            <w:pPr>
              <w:pStyle w:val="Normal"/>
              <w:spacing w:lineRule="auto" w:line="240" w:before="0" w:after="0"/>
              <w:ind w:left="743"/>
              <w:rPr>
                <w:rFonts w:cs="Calibri"/>
                <w:sz w:val="14"/>
                <w:szCs w:val="20"/>
              </w:rPr>
            </w:pPr>
            <w:r>
              <w:rPr>
                <w:rFonts w:cs="Calibri"/>
                <w:sz w:val="14"/>
                <w:szCs w:val="20"/>
              </w:rPr>
              <w:t>- ugięcie sprężyste</w:t>
            </w:r>
          </w:p>
        </w:tc>
        <w:tc>
          <w:tcPr>
            <w:tcW w:w="4961" w:type="dxa"/>
            <w:tcBorders>
              <w:top w:val="single" w:sz="4" w:space="0" w:color="000000"/>
              <w:left w:val="single" w:sz="4" w:space="0" w:color="000000"/>
              <w:bottom w:val="double" w:sz="4" w:space="0" w:color="000000"/>
              <w:right w:val="double" w:sz="4" w:space="0" w:color="000000"/>
            </w:tcBorders>
            <w:vAlign w:val="bottom"/>
          </w:tcPr>
          <w:p>
            <w:pPr>
              <w:pStyle w:val="Normal"/>
              <w:spacing w:lineRule="auto" w:line="240" w:before="0" w:after="0"/>
              <w:rPr>
                <w:rFonts w:cs="Calibri"/>
                <w:sz w:val="14"/>
                <w:szCs w:val="20"/>
              </w:rPr>
            </w:pPr>
            <w:r>
              <w:rPr>
                <w:rFonts w:cs="Calibri"/>
                <w:sz w:val="14"/>
                <w:szCs w:val="20"/>
              </w:rPr>
              <w:t>- co najmniej w 2 przekrojach na każde 100 m;</w:t>
            </w:r>
          </w:p>
          <w:p>
            <w:pPr>
              <w:pStyle w:val="Normal"/>
              <w:spacing w:lineRule="auto" w:line="240" w:before="0" w:after="0"/>
              <w:rPr>
                <w:rFonts w:cs="Calibri"/>
                <w:sz w:val="14"/>
                <w:szCs w:val="20"/>
              </w:rPr>
            </w:pPr>
            <w:r>
              <w:rPr>
                <w:rFonts w:cs="Calibri"/>
                <w:sz w:val="14"/>
                <w:szCs w:val="20"/>
              </w:rPr>
              <w:t>- co najmniej w 20 punktach na każde 100 m</w:t>
            </w:r>
          </w:p>
        </w:tc>
      </w:tr>
    </w:tbl>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i/>
          <w:i/>
          <w:sz w:val="16"/>
          <w:szCs w:val="20"/>
        </w:rPr>
      </w:pPr>
      <w:r>
        <w:rPr>
          <w:rFonts w:cs="Calibri"/>
          <w:i/>
          <w:sz w:val="16"/>
          <w:szCs w:val="20"/>
        </w:rPr>
        <w:t>*) Dodatkowe pomiary spadków poprzecznych i ukształtowania osi w planie należy wykonać w punktach głównych łuków poziomych.</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6.4.2. Szerokość podbudowy</w:t>
      </w:r>
    </w:p>
    <w:p>
      <w:pPr>
        <w:pStyle w:val="Normal"/>
        <w:spacing w:lineRule="auto" w:line="240" w:before="0" w:after="0"/>
        <w:ind w:firstLine="284" w:left="567"/>
        <w:jc w:val="both"/>
        <w:rPr>
          <w:rFonts w:cs="Calibri"/>
          <w:sz w:val="20"/>
          <w:szCs w:val="20"/>
        </w:rPr>
      </w:pPr>
      <w:r>
        <w:rPr>
          <w:rFonts w:cs="Calibri"/>
          <w:sz w:val="20"/>
          <w:szCs w:val="20"/>
        </w:rPr>
        <w:t>Szerokość podbudowy nie może różnić się od szerokości projektowanej o więcej niż +10 cm, -5 cm.</w:t>
      </w:r>
    </w:p>
    <w:p>
      <w:pPr>
        <w:pStyle w:val="Normal"/>
        <w:spacing w:lineRule="auto" w:line="240" w:before="0" w:after="0"/>
        <w:ind w:firstLine="284" w:left="567"/>
        <w:jc w:val="both"/>
        <w:rPr>
          <w:rFonts w:cs="Calibri"/>
          <w:sz w:val="20"/>
          <w:szCs w:val="20"/>
        </w:rPr>
      </w:pPr>
      <w:r>
        <w:rPr>
          <w:rFonts w:cs="Calibri"/>
          <w:sz w:val="20"/>
          <w:szCs w:val="20"/>
        </w:rPr>
        <w:t>Na jezdniach bez krawężników szerokość podbudowy powinna być większa od szerokości warstwy wyżej leżącej o co najmniej 25 cm lub o wartość wskazaną w dokumentacji projektowej.</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6.4.3. Równość podbudowy</w:t>
      </w:r>
    </w:p>
    <w:p>
      <w:pPr>
        <w:pStyle w:val="Normal"/>
        <w:spacing w:lineRule="auto" w:line="240" w:before="0" w:after="0"/>
        <w:ind w:firstLine="284" w:left="567"/>
        <w:jc w:val="both"/>
        <w:rPr>
          <w:rFonts w:cs="Calibri"/>
          <w:sz w:val="20"/>
          <w:szCs w:val="20"/>
        </w:rPr>
      </w:pPr>
      <w:r>
        <w:rPr>
          <w:rFonts w:cs="Calibri"/>
          <w:sz w:val="20"/>
          <w:szCs w:val="20"/>
        </w:rPr>
        <w:t>Nierówności podłużne podbudowy należy mierzyć 4-metrową łatą lub planografem, zgodnie z BN-68/8931-04 [28].</w:t>
      </w:r>
    </w:p>
    <w:p>
      <w:pPr>
        <w:pStyle w:val="Normal"/>
        <w:spacing w:lineRule="auto" w:line="240" w:before="0" w:after="0"/>
        <w:ind w:firstLine="284" w:left="567"/>
        <w:jc w:val="both"/>
        <w:rPr>
          <w:rFonts w:cs="Calibri"/>
          <w:sz w:val="20"/>
          <w:szCs w:val="20"/>
        </w:rPr>
      </w:pPr>
      <w:r>
        <w:rPr>
          <w:rFonts w:cs="Calibri"/>
          <w:sz w:val="20"/>
          <w:szCs w:val="20"/>
        </w:rPr>
        <w:t>Nierówności poprzeczne podbudowy należy mierzyć 4-metrową łatą.</w:t>
      </w:r>
    </w:p>
    <w:p>
      <w:pPr>
        <w:pStyle w:val="Normal"/>
        <w:spacing w:lineRule="auto" w:line="240" w:before="0" w:after="0"/>
        <w:ind w:firstLine="284" w:left="567"/>
        <w:jc w:val="both"/>
        <w:rPr>
          <w:rFonts w:cs="Calibri"/>
          <w:sz w:val="20"/>
          <w:szCs w:val="20"/>
        </w:rPr>
      </w:pPr>
      <w:r>
        <w:rPr>
          <w:rFonts w:cs="Calibri"/>
          <w:sz w:val="20"/>
          <w:szCs w:val="20"/>
        </w:rPr>
        <w:t>Nierówności podbudowy nie mogą przekraczać:</w:t>
      </w:r>
    </w:p>
    <w:p>
      <w:pPr>
        <w:pStyle w:val="Normal"/>
        <w:spacing w:lineRule="auto" w:line="240" w:before="0" w:after="0"/>
        <w:ind w:firstLine="284" w:left="567"/>
        <w:jc w:val="both"/>
        <w:rPr>
          <w:rFonts w:cs="Calibri"/>
          <w:sz w:val="20"/>
          <w:szCs w:val="20"/>
        </w:rPr>
      </w:pPr>
      <w:r>
        <w:rPr>
          <w:rFonts w:cs="Calibri"/>
          <w:sz w:val="20"/>
          <w:szCs w:val="20"/>
        </w:rPr>
        <w:t>- 10 mm dla podbudowy zasadniczej,</w:t>
      </w:r>
    </w:p>
    <w:p>
      <w:pPr>
        <w:pStyle w:val="Normal"/>
        <w:spacing w:lineRule="auto" w:line="240" w:before="0" w:after="0"/>
        <w:ind w:firstLine="284" w:left="567"/>
        <w:jc w:val="both"/>
        <w:rPr>
          <w:rFonts w:cs="Calibri"/>
          <w:sz w:val="20"/>
          <w:szCs w:val="20"/>
        </w:rPr>
      </w:pPr>
      <w:r>
        <w:rPr>
          <w:rFonts w:cs="Calibri"/>
          <w:sz w:val="20"/>
          <w:szCs w:val="20"/>
        </w:rPr>
        <w:t>- 20 mm dla podbudowy pomocniczej.</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6.4.4. Spadki poprzeczne podbudowy</w:t>
      </w:r>
    </w:p>
    <w:p>
      <w:pPr>
        <w:pStyle w:val="Normal"/>
        <w:spacing w:lineRule="auto" w:line="240" w:before="0" w:after="0"/>
        <w:ind w:firstLine="284" w:left="567"/>
        <w:jc w:val="both"/>
        <w:rPr>
          <w:rFonts w:cs="Calibri"/>
          <w:sz w:val="20"/>
          <w:szCs w:val="20"/>
        </w:rPr>
      </w:pPr>
      <w:r>
        <w:rPr>
          <w:rFonts w:cs="Calibri"/>
          <w:sz w:val="20"/>
          <w:szCs w:val="20"/>
        </w:rPr>
        <w:t xml:space="preserve">Spadki poprzeczne podbudowy na prostych i łukach powinny być zgodne z dokumentacją projektową, z tolerancją </w:t>
      </w:r>
      <w:r>
        <w:rPr>
          <w:rFonts w:eastAsia="WP MathA" w:cs="WP MathA" w:ascii="WP MathA" w:hAnsi="WP MathA"/>
          <w:b/>
          <w:sz w:val="20"/>
          <w:szCs w:val="20"/>
        </w:rPr>
        <w:sym w:font="WP MathA" w:char="f022"/>
      </w:r>
      <w:r>
        <w:rPr>
          <w:rFonts w:eastAsia="CIDFont+F5" w:cs="Calibri"/>
          <w:sz w:val="20"/>
          <w:szCs w:val="20"/>
        </w:rPr>
        <w:t xml:space="preserve"> </w:t>
      </w:r>
      <w:r>
        <w:rPr>
          <w:rFonts w:cs="Calibri"/>
          <w:sz w:val="20"/>
          <w:szCs w:val="20"/>
        </w:rPr>
        <w:t>0,5 %.</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6.4.5. Rzędne wysokościowe podbudowy</w:t>
      </w:r>
    </w:p>
    <w:p>
      <w:pPr>
        <w:pStyle w:val="Normal"/>
        <w:spacing w:lineRule="auto" w:line="240" w:before="0" w:after="0"/>
        <w:ind w:firstLine="284" w:left="567"/>
        <w:jc w:val="both"/>
        <w:rPr>
          <w:rFonts w:cs="Calibri"/>
          <w:sz w:val="20"/>
          <w:szCs w:val="20"/>
        </w:rPr>
      </w:pPr>
      <w:r>
        <w:rPr>
          <w:rFonts w:cs="Calibri"/>
          <w:sz w:val="20"/>
          <w:szCs w:val="20"/>
        </w:rPr>
        <w:t>Różnice pomiędzy rzędnymi wysokościowymi podbudowy i rzędnymi projektowanymi nie powinny przekraczać +1 cm, -2 cm.</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6.4.6. Ukształtowanie osi podbudowy i ulepszonego podłoża</w:t>
      </w:r>
    </w:p>
    <w:p>
      <w:pPr>
        <w:pStyle w:val="Normal"/>
        <w:spacing w:lineRule="auto" w:line="240" w:before="0" w:after="0"/>
        <w:ind w:firstLine="284" w:left="567" w:right="-284"/>
        <w:jc w:val="both"/>
        <w:rPr>
          <w:rFonts w:cs="Calibri"/>
          <w:sz w:val="20"/>
          <w:szCs w:val="20"/>
        </w:rPr>
      </w:pPr>
      <w:r>
        <w:rPr>
          <w:rFonts w:cs="Calibri"/>
          <w:sz w:val="20"/>
          <w:szCs w:val="20"/>
        </w:rPr>
        <w:t xml:space="preserve">Oś podbudowy w planie nie może być przesunięta w stosunku do osi projektowanej o więcej niż </w:t>
      </w:r>
      <w:r>
        <w:rPr>
          <w:rFonts w:eastAsia="WP MathA" w:cs="WP MathA" w:ascii="WP MathA" w:hAnsi="WP MathA"/>
          <w:b/>
          <w:sz w:val="20"/>
          <w:szCs w:val="20"/>
        </w:rPr>
        <w:sym w:font="WP MathA" w:char="f022"/>
      </w:r>
      <w:r>
        <w:rPr>
          <w:rFonts w:cs="Calibri"/>
          <w:sz w:val="20"/>
          <w:szCs w:val="20"/>
        </w:rPr>
        <w:t>5 cm.</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6.4.7. Grubość podbudowy i ulepszonego podłoża</w:t>
      </w:r>
    </w:p>
    <w:p>
      <w:pPr>
        <w:pStyle w:val="Normal"/>
        <w:spacing w:lineRule="auto" w:line="240" w:before="0" w:after="0"/>
        <w:ind w:firstLine="284" w:left="567"/>
        <w:jc w:val="both"/>
        <w:rPr>
          <w:rFonts w:cs="Calibri"/>
          <w:sz w:val="20"/>
          <w:szCs w:val="20"/>
        </w:rPr>
      </w:pPr>
      <w:r>
        <w:rPr>
          <w:rFonts w:cs="Calibri"/>
          <w:sz w:val="20"/>
          <w:szCs w:val="20"/>
        </w:rPr>
        <w:t>Grubość podbudowy nie może się różnić od grubości projektowanej o więcej niż:</w:t>
      </w:r>
    </w:p>
    <w:p>
      <w:pPr>
        <w:pStyle w:val="Normal"/>
        <w:spacing w:lineRule="auto" w:line="240" w:before="0" w:after="0"/>
        <w:ind w:firstLine="284" w:left="567"/>
        <w:jc w:val="both"/>
        <w:rPr>
          <w:rFonts w:cs="Calibri"/>
          <w:sz w:val="20"/>
          <w:szCs w:val="20"/>
        </w:rPr>
      </w:pPr>
      <w:r>
        <w:rPr>
          <w:rFonts w:cs="Calibri"/>
          <w:sz w:val="20"/>
          <w:szCs w:val="20"/>
        </w:rPr>
        <w:t xml:space="preserve">- dla podbudowy zasadniczej </w:t>
      </w:r>
      <w:r>
        <w:rPr>
          <w:rFonts w:eastAsia="WP MathA" w:cs="WP MathA" w:ascii="WP MathA" w:hAnsi="WP MathA"/>
          <w:b/>
          <w:sz w:val="20"/>
          <w:szCs w:val="20"/>
        </w:rPr>
        <w:sym w:font="WP MathA" w:char="f022"/>
      </w:r>
      <w:r>
        <w:rPr>
          <w:rFonts w:eastAsia="CIDFont+F5" w:cs="Calibri"/>
          <w:sz w:val="20"/>
          <w:szCs w:val="20"/>
        </w:rPr>
        <w:t xml:space="preserve"> </w:t>
      </w:r>
      <w:r>
        <w:rPr>
          <w:rFonts w:cs="Calibri"/>
          <w:sz w:val="20"/>
          <w:szCs w:val="20"/>
        </w:rPr>
        <w:t>10%,</w:t>
      </w:r>
    </w:p>
    <w:p>
      <w:pPr>
        <w:pStyle w:val="Normal"/>
        <w:spacing w:lineRule="auto" w:line="240" w:before="0" w:after="0"/>
        <w:ind w:firstLine="284" w:left="567"/>
        <w:jc w:val="both"/>
        <w:rPr>
          <w:rFonts w:cs="Calibri"/>
          <w:sz w:val="20"/>
          <w:szCs w:val="20"/>
        </w:rPr>
      </w:pPr>
      <w:r>
        <w:rPr>
          <w:rFonts w:cs="Calibri"/>
          <w:sz w:val="20"/>
          <w:szCs w:val="20"/>
        </w:rPr>
        <w:t>- dla podbudowy pomocniczej +10%, -15%.</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6.4.8. Nośność podbudowy</w:t>
      </w:r>
    </w:p>
    <w:p>
      <w:pPr>
        <w:pStyle w:val="ListParagraph"/>
        <w:numPr>
          <w:ilvl w:val="0"/>
          <w:numId w:val="5"/>
        </w:numPr>
        <w:spacing w:lineRule="auto" w:line="240" w:before="0" w:after="0"/>
        <w:contextualSpacing/>
        <w:jc w:val="both"/>
        <w:rPr>
          <w:rFonts w:cs="Calibri"/>
          <w:sz w:val="20"/>
          <w:szCs w:val="20"/>
        </w:rPr>
      </w:pPr>
      <w:r>
        <w:rPr>
          <w:rFonts w:cs="Calibri"/>
          <w:sz w:val="20"/>
          <w:szCs w:val="20"/>
        </w:rPr>
        <w:t>moduł odkształcenia wg BN-64/8931-02 [27] powinien być zgodny z podanym w tablicy 4,</w:t>
      </w:r>
    </w:p>
    <w:p>
      <w:pPr>
        <w:pStyle w:val="ListParagraph"/>
        <w:numPr>
          <w:ilvl w:val="0"/>
          <w:numId w:val="5"/>
        </w:numPr>
        <w:spacing w:lineRule="auto" w:line="240" w:before="0" w:after="0"/>
        <w:contextualSpacing/>
        <w:jc w:val="both"/>
        <w:rPr>
          <w:rFonts w:cs="Calibri"/>
          <w:sz w:val="20"/>
          <w:szCs w:val="20"/>
        </w:rPr>
      </w:pPr>
      <w:r>
        <w:rPr>
          <w:rFonts w:cs="Calibri"/>
          <w:sz w:val="20"/>
          <w:szCs w:val="20"/>
        </w:rPr>
        <w:t>ugięcie sprężyste wg BN-70/8931-06 [29] powinno być zgodne z podanym w tablicy 4.</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firstLine="284" w:left="567"/>
        <w:jc w:val="both"/>
        <w:rPr>
          <w:rFonts w:cs="Calibri"/>
          <w:i/>
          <w:i/>
          <w:sz w:val="18"/>
          <w:szCs w:val="20"/>
        </w:rPr>
      </w:pPr>
      <w:r>
        <w:rPr>
          <w:rFonts w:cs="Calibri"/>
          <w:i/>
          <w:sz w:val="18"/>
          <w:szCs w:val="20"/>
        </w:rPr>
        <w:t>Tablica 4. Cechy podbudowy</w:t>
      </w:r>
    </w:p>
    <w:p>
      <w:pPr>
        <w:pStyle w:val="Normal"/>
        <w:spacing w:lineRule="auto" w:line="240" w:before="0" w:after="0"/>
        <w:ind w:firstLine="284" w:left="567"/>
        <w:jc w:val="both"/>
        <w:rPr>
          <w:rFonts w:cs="Calibri"/>
          <w:sz w:val="20"/>
          <w:szCs w:val="20"/>
        </w:rPr>
      </w:pPr>
      <w:r>
        <w:rPr>
          <w:rFonts w:cs="Calibri"/>
          <w:sz w:val="20"/>
          <w:szCs w:val="20"/>
        </w:rPr>
      </w:r>
    </w:p>
    <w:tbl>
      <w:tblPr>
        <w:tblW w:w="8329" w:type="dxa"/>
        <w:jc w:val="left"/>
        <w:tblInd w:w="1082" w:type="dxa"/>
        <w:tblLayout w:type="fixed"/>
        <w:tblCellMar>
          <w:top w:w="0" w:type="dxa"/>
          <w:left w:w="108" w:type="dxa"/>
          <w:bottom w:w="0" w:type="dxa"/>
          <w:right w:w="108" w:type="dxa"/>
        </w:tblCellMar>
        <w:tblLook w:val="00a0"/>
      </w:tblPr>
      <w:tblGrid>
        <w:gridCol w:w="1843"/>
        <w:gridCol w:w="1841"/>
        <w:gridCol w:w="1135"/>
        <w:gridCol w:w="1133"/>
        <w:gridCol w:w="1190"/>
        <w:gridCol w:w="1186"/>
      </w:tblGrid>
      <w:tr>
        <w:trPr>
          <w:trHeight w:val="413" w:hRule="atLeast"/>
        </w:trPr>
        <w:tc>
          <w:tcPr>
            <w:tcW w:w="1843" w:type="dxa"/>
            <w:vMerge w:val="restart"/>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Podbudowa z kruszywa</w:t>
            </w:r>
          </w:p>
          <w:p>
            <w:pPr>
              <w:pStyle w:val="Normal"/>
              <w:spacing w:lineRule="auto" w:line="240" w:before="0" w:after="0"/>
              <w:jc w:val="center"/>
              <w:rPr>
                <w:rFonts w:cs="Calibri"/>
                <w:sz w:val="14"/>
                <w:szCs w:val="16"/>
              </w:rPr>
            </w:pPr>
            <w:r>
              <w:rPr>
                <w:rFonts w:cs="Calibri"/>
                <w:sz w:val="14"/>
                <w:szCs w:val="16"/>
              </w:rPr>
              <w:t>o wskaźniku w</w:t>
            </w:r>
            <w:r>
              <w:rPr>
                <w:rFonts w:cs="Calibri"/>
                <w:sz w:val="14"/>
                <w:szCs w:val="16"/>
                <w:vertAlign w:val="subscript"/>
              </w:rPr>
              <w:t>noś</w:t>
            </w:r>
            <w:r>
              <w:rPr>
                <w:rFonts w:cs="Calibri"/>
                <w:sz w:val="14"/>
                <w:szCs w:val="16"/>
              </w:rPr>
              <w:br/>
              <w:t>nie mniejszym niż, %</w:t>
            </w:r>
          </w:p>
        </w:tc>
        <w:tc>
          <w:tcPr>
            <w:tcW w:w="6485" w:type="dxa"/>
            <w:gridSpan w:val="5"/>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Wymagane cechy podbudowy</w:t>
            </w:r>
          </w:p>
        </w:tc>
      </w:tr>
      <w:tr>
        <w:trPr/>
        <w:tc>
          <w:tcPr>
            <w:tcW w:w="1843"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r>
          </w:p>
        </w:tc>
        <w:tc>
          <w:tcPr>
            <w:tcW w:w="1841" w:type="dxa"/>
            <w:vMerge w:val="restart"/>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Wskaźnik zagęszczenia I</w:t>
            </w:r>
            <w:r>
              <w:rPr>
                <w:rFonts w:cs="Calibri"/>
                <w:sz w:val="14"/>
                <w:szCs w:val="16"/>
                <w:vertAlign w:val="subscript"/>
              </w:rPr>
              <w:t>s</w:t>
            </w:r>
            <w:r>
              <w:rPr>
                <w:rFonts w:cs="Calibri"/>
                <w:sz w:val="14"/>
                <w:szCs w:val="16"/>
              </w:rPr>
              <w:br/>
              <w:t>nie mniejszy niż</w:t>
            </w:r>
          </w:p>
        </w:tc>
        <w:tc>
          <w:tcPr>
            <w:tcW w:w="2268" w:type="dxa"/>
            <w:gridSpan w:val="2"/>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Maksymalne ugięcie sprężyste</w:t>
              <w:br/>
              <w:t>pod kołem mm</w:t>
            </w:r>
          </w:p>
        </w:tc>
        <w:tc>
          <w:tcPr>
            <w:tcW w:w="2376" w:type="dxa"/>
            <w:gridSpan w:val="2"/>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Minimalny moduł odkształcenia mierzony płytą o średnicy 30 cm, MPa</w:t>
            </w:r>
          </w:p>
        </w:tc>
      </w:tr>
      <w:tr>
        <w:trPr>
          <w:trHeight w:val="311" w:hRule="atLeast"/>
        </w:trPr>
        <w:tc>
          <w:tcPr>
            <w:tcW w:w="1843"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r>
          </w:p>
        </w:tc>
        <w:tc>
          <w:tcPr>
            <w:tcW w:w="1841"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r>
          </w:p>
        </w:tc>
        <w:tc>
          <w:tcPr>
            <w:tcW w:w="1135"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40 kN</w:t>
            </w:r>
          </w:p>
        </w:tc>
        <w:tc>
          <w:tcPr>
            <w:tcW w:w="1133"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50 kN</w:t>
            </w:r>
          </w:p>
        </w:tc>
        <w:tc>
          <w:tcPr>
            <w:tcW w:w="119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od pierwszego obciążenia E</w:t>
            </w:r>
            <w:r>
              <w:rPr>
                <w:rFonts w:cs="Calibri"/>
                <w:sz w:val="14"/>
                <w:szCs w:val="16"/>
                <w:vertAlign w:val="subscript"/>
              </w:rPr>
              <w:t>1</w:t>
            </w:r>
          </w:p>
        </w:tc>
        <w:tc>
          <w:tcPr>
            <w:tcW w:w="1186"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od drugiego obciążenia E</w:t>
            </w:r>
            <w:r>
              <w:rPr>
                <w:rFonts w:cs="Calibri"/>
                <w:sz w:val="14"/>
                <w:szCs w:val="16"/>
                <w:vertAlign w:val="subscript"/>
              </w:rPr>
              <w:t>2</w:t>
            </w:r>
          </w:p>
        </w:tc>
      </w:tr>
      <w:tr>
        <w:trPr>
          <w:trHeight w:val="303" w:hRule="atLeast"/>
        </w:trPr>
        <w:tc>
          <w:tcPr>
            <w:tcW w:w="1843" w:type="dxa"/>
            <w:tcBorders>
              <w:top w:val="doub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90</w:t>
            </w:r>
          </w:p>
        </w:tc>
        <w:tc>
          <w:tcPr>
            <w:tcW w:w="1841"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1,00</w:t>
            </w:r>
          </w:p>
        </w:tc>
        <w:tc>
          <w:tcPr>
            <w:tcW w:w="1135"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1,40</w:t>
            </w:r>
          </w:p>
        </w:tc>
        <w:tc>
          <w:tcPr>
            <w:tcW w:w="1133"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1,60</w:t>
            </w:r>
          </w:p>
        </w:tc>
        <w:tc>
          <w:tcPr>
            <w:tcW w:w="1190"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60</w:t>
            </w:r>
          </w:p>
        </w:tc>
        <w:tc>
          <w:tcPr>
            <w:tcW w:w="1186" w:type="dxa"/>
            <w:tcBorders>
              <w:top w:val="doub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120</w:t>
            </w:r>
          </w:p>
        </w:tc>
      </w:tr>
      <w:tr>
        <w:trPr>
          <w:trHeight w:val="303" w:hRule="atLeast"/>
        </w:trPr>
        <w:tc>
          <w:tcPr>
            <w:tcW w:w="1843"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80</w:t>
            </w:r>
          </w:p>
        </w:tc>
        <w:tc>
          <w:tcPr>
            <w:tcW w:w="18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1,00</w:t>
            </w:r>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1,25</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1,40</w:t>
            </w:r>
          </w:p>
        </w:tc>
        <w:tc>
          <w:tcPr>
            <w:tcW w:w="119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80</w:t>
            </w:r>
          </w:p>
        </w:tc>
        <w:tc>
          <w:tcPr>
            <w:tcW w:w="1186"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140</w:t>
            </w:r>
          </w:p>
        </w:tc>
      </w:tr>
      <w:tr>
        <w:trPr>
          <w:trHeight w:val="303" w:hRule="atLeast"/>
        </w:trPr>
        <w:tc>
          <w:tcPr>
            <w:tcW w:w="1843" w:type="dxa"/>
            <w:tcBorders>
              <w:top w:val="single" w:sz="4" w:space="0" w:color="000000"/>
              <w:left w:val="double" w:sz="4" w:space="0" w:color="000000"/>
              <w:bottom w:val="doub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120</w:t>
            </w:r>
          </w:p>
        </w:tc>
        <w:tc>
          <w:tcPr>
            <w:tcW w:w="1841"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1,10</w:t>
            </w:r>
          </w:p>
        </w:tc>
        <w:tc>
          <w:tcPr>
            <w:tcW w:w="1135"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1,10</w:t>
            </w:r>
          </w:p>
        </w:tc>
        <w:tc>
          <w:tcPr>
            <w:tcW w:w="1133"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1,20</w:t>
            </w:r>
          </w:p>
        </w:tc>
        <w:tc>
          <w:tcPr>
            <w:tcW w:w="1190"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100</w:t>
            </w:r>
          </w:p>
        </w:tc>
        <w:tc>
          <w:tcPr>
            <w:tcW w:w="1186" w:type="dxa"/>
            <w:tcBorders>
              <w:top w:val="single" w:sz="4" w:space="0" w:color="000000"/>
              <w:left w:val="sing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180</w:t>
            </w:r>
          </w:p>
        </w:tc>
      </w:tr>
    </w:tbl>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6.5. Zasady postępowania z wadliwie wykonanymi odcinkami podbudowy</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6.5.1. Niewłaściwe cechy geometryczne podbudowy</w:t>
      </w:r>
    </w:p>
    <w:p>
      <w:pPr>
        <w:pStyle w:val="Normal"/>
        <w:spacing w:lineRule="auto" w:line="240" w:before="0" w:after="0"/>
        <w:ind w:firstLine="284" w:left="567"/>
        <w:jc w:val="both"/>
        <w:rPr>
          <w:rFonts w:cs="Calibri"/>
          <w:sz w:val="20"/>
          <w:szCs w:val="20"/>
        </w:rPr>
      </w:pPr>
      <w:r>
        <w:rPr>
          <w:rFonts w:cs="Calibri"/>
          <w:sz w:val="20"/>
          <w:szCs w:val="20"/>
        </w:rPr>
        <w:t xml:space="preserve">Wszystkie powierzchnie podbudowy, które wykazują większe odchylenia od określonych w punkcie 6.4 powinny być naprawione przez spulchnienie lub zerwanie do głębokości co najmniej 10 cm, wyrównane </w:t>
        <w:br/>
        <w:t xml:space="preserve">i powtórnie zagęszczone. Dodanie nowego materiału bez spulchnienia wykonanej warstwy jest niedopuszczalne. Jeżeli szerokość podbudowy jest mniejsza od szerokości projektowanej o więcej niż 5 cm </w:t>
        <w:br/>
        <w:t>i nie zapewnia podparcia warstwom wyżej leżącym, to Wykonawca powinien na własny koszt poszerzyć podbudowę przez spulchnienie warstwy na pełną grubość do połowy szerokości pasa ruchu, dołożenie materiału i powtórne zagęszczenie.</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6.5.2. Niewłaściwa grubość podbudowy</w:t>
      </w:r>
    </w:p>
    <w:p>
      <w:pPr>
        <w:pStyle w:val="Normal"/>
        <w:spacing w:lineRule="auto" w:line="240" w:before="0" w:after="0"/>
        <w:ind w:firstLine="284" w:left="567"/>
        <w:jc w:val="both"/>
        <w:rPr>
          <w:rFonts w:cs="Calibri"/>
          <w:sz w:val="20"/>
          <w:szCs w:val="20"/>
        </w:rPr>
      </w:pPr>
      <w:r>
        <w:rPr>
          <w:rFonts w:cs="Calibri"/>
          <w:sz w:val="20"/>
          <w:szCs w:val="20"/>
        </w:rP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pPr>
        <w:pStyle w:val="Normal"/>
        <w:spacing w:lineRule="auto" w:line="240" w:before="0" w:after="0"/>
        <w:ind w:firstLine="284" w:left="567"/>
        <w:jc w:val="both"/>
        <w:rPr>
          <w:rFonts w:cs="Calibri"/>
          <w:sz w:val="20"/>
          <w:szCs w:val="20"/>
        </w:rPr>
      </w:pPr>
      <w:r>
        <w:rPr>
          <w:rFonts w:cs="Calibri"/>
          <w:sz w:val="20"/>
          <w:szCs w:val="20"/>
        </w:rPr>
        <w:t>Roboty te Wykonawca wykona na własny koszt. Po wykonaniu tych robót nastąpi ponowny pomiar i ocena grubości warstwy, według wyżej podanych zasad, na koszt Wykonawcy.</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6.5.3. Niewłaściwa nośność podbudowy</w:t>
      </w:r>
    </w:p>
    <w:p>
      <w:pPr>
        <w:pStyle w:val="Normal"/>
        <w:spacing w:lineRule="auto" w:line="240" w:before="0" w:after="0"/>
        <w:ind w:firstLine="284" w:left="567"/>
        <w:jc w:val="both"/>
        <w:rPr>
          <w:rFonts w:cs="Calibri"/>
          <w:sz w:val="20"/>
          <w:szCs w:val="20"/>
        </w:rPr>
      </w:pPr>
      <w:r>
        <w:rPr>
          <w:rFonts w:cs="Calibri"/>
          <w:sz w:val="20"/>
          <w:szCs w:val="20"/>
        </w:rPr>
        <w:t>Jeżeli nośność podbudowy będzie mniejsza od wymaganej, to Wykonawca wykona wszelkie roboty niezbędne do zapewnienia wymaganej nośności, zalecone przez Inżyniera. Koszty tych dodatkowych robót poniesie Wykonawca podbudowy tylko wtedy, gdy zaniżenie nośności podbudowy wynikło z niewłaściwego wykonania robót przez Wykonawcę podbudowy.</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7. OBMIAR ROBÓT</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7.1. Ogólne zasady obmiaru robót</w:t>
      </w:r>
    </w:p>
    <w:p>
      <w:pPr>
        <w:pStyle w:val="Normal"/>
        <w:spacing w:lineRule="auto" w:line="240" w:before="0" w:after="0"/>
        <w:ind w:firstLine="284" w:left="567"/>
        <w:jc w:val="both"/>
        <w:rPr>
          <w:rFonts w:cs="Calibri"/>
          <w:sz w:val="20"/>
          <w:szCs w:val="20"/>
        </w:rPr>
      </w:pPr>
      <w:r>
        <w:rPr>
          <w:rFonts w:cs="Calibri"/>
          <w:sz w:val="20"/>
          <w:szCs w:val="20"/>
        </w:rPr>
        <w:t>Ogólne zasady obmiaru robót podano w OST D-M-00.00.00 „Wymagania ogólne” pkt 7.</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7.2. Jednostka obmiarowa</w:t>
      </w:r>
    </w:p>
    <w:p>
      <w:pPr>
        <w:pStyle w:val="Normal"/>
        <w:spacing w:lineRule="auto" w:line="240" w:before="0" w:after="0"/>
        <w:ind w:firstLine="284" w:left="567"/>
        <w:jc w:val="both"/>
        <w:rPr>
          <w:rFonts w:cs="Calibri"/>
          <w:sz w:val="20"/>
          <w:szCs w:val="20"/>
        </w:rPr>
      </w:pPr>
      <w:r>
        <w:rPr>
          <w:rFonts w:cs="Calibri"/>
          <w:sz w:val="20"/>
          <w:szCs w:val="20"/>
        </w:rPr>
        <w:t>Jednostką obmiarową jest m2 (metr kwadratowy) podbudowy z kruszywastabilizowanego mechanicznie.</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8. ODBIÓR ROBÓT</w:t>
      </w:r>
    </w:p>
    <w:p>
      <w:pPr>
        <w:pStyle w:val="Normal"/>
        <w:spacing w:lineRule="auto" w:line="240" w:before="0" w:after="0"/>
        <w:ind w:firstLine="284" w:left="567"/>
        <w:jc w:val="both"/>
        <w:rPr>
          <w:rFonts w:cs="Calibri"/>
          <w:sz w:val="20"/>
          <w:szCs w:val="20"/>
        </w:rPr>
      </w:pPr>
      <w:r>
        <w:rPr>
          <w:rFonts w:cs="Calibri"/>
          <w:sz w:val="20"/>
          <w:szCs w:val="20"/>
        </w:rPr>
        <w:t>Ogólne zasady odbioru robót podano w OST D-M-00.00.00 „Wymagania ogólne” pkt 8.</w:t>
      </w:r>
    </w:p>
    <w:p>
      <w:pPr>
        <w:pStyle w:val="Normal"/>
        <w:spacing w:lineRule="auto" w:line="240" w:before="0" w:after="0"/>
        <w:ind w:firstLine="284" w:left="567"/>
        <w:jc w:val="both"/>
        <w:rPr>
          <w:rFonts w:cs="Calibri"/>
          <w:sz w:val="20"/>
          <w:szCs w:val="20"/>
        </w:rPr>
      </w:pPr>
      <w:r>
        <w:rPr>
          <w:rFonts w:cs="Calibri"/>
          <w:sz w:val="20"/>
          <w:szCs w:val="20"/>
        </w:rPr>
        <w:t>Roboty uznaje się za zgodne z dokumentacją projektową, SST i wymaganiami Inżyniera, jeżeli wszystkie pomiary i badania z zachowaniem tolerancji wg pkt 6 dały wyniki pozytywne.</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9. PODSTAWA PŁATNOŚCI</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9.1. Ogólne ustalenia dotyczące podstawy płatności</w:t>
      </w:r>
    </w:p>
    <w:p>
      <w:pPr>
        <w:pStyle w:val="Normal"/>
        <w:spacing w:lineRule="auto" w:line="240" w:before="0" w:after="0"/>
        <w:ind w:firstLine="284" w:left="567"/>
        <w:jc w:val="both"/>
        <w:rPr>
          <w:rFonts w:cs="Calibri"/>
          <w:sz w:val="20"/>
          <w:szCs w:val="20"/>
        </w:rPr>
      </w:pPr>
      <w:r>
        <w:rPr>
          <w:rFonts w:cs="Calibri"/>
          <w:sz w:val="20"/>
          <w:szCs w:val="20"/>
        </w:rPr>
        <w:t>Ogólne ustalenia dotyczące podstawy płatności podano w OST D-M-00.00.00 „Wymagania ogólne” pkt 9.</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9.2. Cena jednostki obmiarowej</w:t>
      </w:r>
    </w:p>
    <w:p>
      <w:pPr>
        <w:pStyle w:val="Normal"/>
        <w:spacing w:lineRule="auto" w:line="240" w:before="0" w:after="0"/>
        <w:ind w:firstLine="284" w:left="567"/>
        <w:jc w:val="both"/>
        <w:rPr>
          <w:rFonts w:cs="Calibri"/>
          <w:sz w:val="20"/>
          <w:szCs w:val="20"/>
        </w:rPr>
      </w:pPr>
      <w:r>
        <w:rPr>
          <w:rFonts w:cs="Calibri"/>
          <w:sz w:val="20"/>
          <w:szCs w:val="20"/>
        </w:rPr>
        <w:t>Zakres czynności objętych ceną jednostkową 1 m2 podbudowy z kruszywa stabilizowanego mechanicznie, podano w OST:</w:t>
      </w:r>
    </w:p>
    <w:p>
      <w:pPr>
        <w:pStyle w:val="ListParagraph"/>
        <w:numPr>
          <w:ilvl w:val="0"/>
          <w:numId w:val="6"/>
        </w:numPr>
        <w:spacing w:lineRule="auto" w:line="240" w:before="0" w:after="0"/>
        <w:ind w:hanging="219" w:left="993"/>
        <w:contextualSpacing/>
        <w:jc w:val="both"/>
        <w:rPr>
          <w:rFonts w:cs="Calibri"/>
          <w:sz w:val="20"/>
          <w:szCs w:val="20"/>
        </w:rPr>
      </w:pPr>
      <w:r>
        <w:rPr>
          <w:rFonts w:cs="Calibri"/>
          <w:sz w:val="20"/>
          <w:szCs w:val="20"/>
        </w:rPr>
        <w:t>D-04.04.01 Podbudowa z kruszywa naturalnego stabilizowanego mechanicznie,</w:t>
      </w:r>
    </w:p>
    <w:p>
      <w:pPr>
        <w:pStyle w:val="ListParagraph"/>
        <w:numPr>
          <w:ilvl w:val="0"/>
          <w:numId w:val="6"/>
        </w:numPr>
        <w:spacing w:lineRule="auto" w:line="240" w:before="0" w:after="0"/>
        <w:ind w:hanging="219" w:left="993"/>
        <w:contextualSpacing/>
        <w:jc w:val="both"/>
        <w:rPr>
          <w:rFonts w:cs="Calibri"/>
          <w:sz w:val="20"/>
          <w:szCs w:val="20"/>
        </w:rPr>
      </w:pPr>
      <w:r>
        <w:rPr>
          <w:rFonts w:cs="Calibri"/>
          <w:sz w:val="20"/>
          <w:szCs w:val="20"/>
        </w:rPr>
        <w:t>D-04.04.02 Podbudowa z kruszywa łamanego stabilizowanego mechanicznie,</w:t>
      </w:r>
    </w:p>
    <w:p>
      <w:pPr>
        <w:pStyle w:val="ListParagraph"/>
        <w:numPr>
          <w:ilvl w:val="0"/>
          <w:numId w:val="6"/>
        </w:numPr>
        <w:spacing w:lineRule="auto" w:line="240" w:before="0" w:after="0"/>
        <w:ind w:hanging="219" w:left="993"/>
        <w:contextualSpacing/>
        <w:jc w:val="both"/>
        <w:rPr>
          <w:rFonts w:cs="Calibri"/>
          <w:sz w:val="20"/>
          <w:szCs w:val="20"/>
        </w:rPr>
      </w:pPr>
      <w:r>
        <w:rPr>
          <w:rFonts w:cs="Calibri"/>
          <w:sz w:val="20"/>
          <w:szCs w:val="20"/>
        </w:rPr>
        <w:t>D-04.04.03 Podbudowa z żużla wielkopiecowego stabilizowanego mechanicznie.</w:t>
      </w:r>
    </w:p>
    <w:p>
      <w:pPr>
        <w:pStyle w:val="Normal"/>
        <w:spacing w:lineRule="auto" w:line="240" w:before="0" w:after="0"/>
        <w:ind w:firstLine="284" w:left="567"/>
        <w:jc w:val="both"/>
        <w:rPr>
          <w:rFonts w:cs="Calibri"/>
          <w:sz w:val="20"/>
          <w:szCs w:val="20"/>
        </w:rPr>
      </w:pPr>
      <w:r>
        <w:rPr>
          <w:rFonts w:cs="Calibri"/>
          <w:sz w:val="20"/>
          <w:szCs w:val="20"/>
        </w:rPr>
      </w:r>
      <w:bookmarkStart w:id="0" w:name="_GoBack"/>
      <w:bookmarkStart w:id="1" w:name="_GoBack"/>
      <w:bookmarkEnd w:id="1"/>
    </w:p>
    <w:p>
      <w:pPr>
        <w:pStyle w:val="Normal"/>
        <w:spacing w:lineRule="auto" w:line="240" w:before="0" w:after="0"/>
        <w:jc w:val="both"/>
        <w:rPr>
          <w:rFonts w:cs="Calibri"/>
          <w:b/>
          <w:sz w:val="20"/>
          <w:szCs w:val="20"/>
        </w:rPr>
      </w:pPr>
      <w:r>
        <w:rPr>
          <w:rFonts w:cs="Calibri"/>
          <w:b/>
          <w:sz w:val="20"/>
          <w:szCs w:val="20"/>
        </w:rPr>
        <w:t>10. PRZEPISY ZWIĄZANE</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10.1. Normy</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PN-B-04481 Grunty budowlane. Badania próbek gruntu;</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PN-B-06714-12 Kruszywa mineralne. Badania. Oznaczanie zawartości zanieczyszczeń obcych;</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PN-B-06714-15 Kruszywa mineralne. Badania. Oznaczanie składu ziarnowego;</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PN-B-06714-16 Kruszywa mineralne. Badania. Oznaczanie kształtu ziaren;</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PN-B-06714-17 Kruszywa mineralne. Badania. Oznaczanie wilgotności;</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PN-B-06714-18 Kruszywa mineralne. Badania. Oznaczanie nasiąkliwości;</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PN-B-06714-19 Kruszywa mineralne. Badania. Oznaczanie mrozoodporności metodą bezpośrednią;</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PN-B-06714-26 Kruszywa mineralne. Badania. Oznaczanie zawartości zanieczyszczeń organicznych;</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PN-B-06714-28 Kruszywa mineralne. Badania. Oznaczanie zawartości siarki metodą bromową;</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PN-B-06714-37 Kruszywa mineralne. Badania. Oznaczanie rozpadu krzemianowego;</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PN-B-06714-39 Kruszywa mineralne. Badania. Oznaczanie rozpadu żelazawego;</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PN-B-06714-42 Kruszywa mineralne. Badania. Oznaczanie ścieralności w bębnie Los Angeles;</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PN-B-06731 Żużel wielkopiecowy kawałkowy. Kruszywo budowlane i drogowe. Badania techniczne;</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PN-B-11111 Kruszywa mineralne. Kruszywa naturalne do nawierzchni drogowych. Żwir i mieszanka;</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PN-B-11112 Kruszywa mineralne. Kruszywa łamane do nawierzchni drogowych;</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PN-B-11113 Kruszywa mineralne. Kruszywa naturalne do nawierzchni drogowych. Piasek;</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PN-B-19701 Cement. Cement powszechnego użytku. Skład, wymagania i ocena zgodności;</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PN-B-23006 Kruszywo do betonu lekkiego PN-B-30020 Wapno;</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PN-B-32250 Materiały budowlane. Woda do betonu i zapraw;</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PN-S-06102 Drogi samochodowe. Podbudowy z kruszyw stabilizowanych mechanicznie;</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PN-S-96023 Konstrukcje drogowe. Podbudowa i nawierzchnia z tłucznia kamiennego;</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PN-S-96035 Popioły lotne;</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BN-88/6731-08 Cement. Transport i przechowywanie;</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BN-84/6774-02 Kruszywo mineralne. Kruszywo kamienne łamane do nawierzchni drogowych;</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BN-64/8931-01 Drogi samochodowe. Oznaczanie wskaźnika piaskowego;</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BN-64/8931-02 Drogi samochodowe. Oznaczanie modułu odkształcenia nawierzchni podatnych i podłoża przez obciążenie płytą;</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BN-68/8931-04 Drogi samochodowe. Pomiar równości nawierzchni planografem i łatą;</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BN-70/8931-06 Drogi samochodowe. Pomiar ugięć podatnych ugięciomierzem belkowym;</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BN-77/8931-12 Oznaczanie wskaźnika zagęszczenia gruntu.</w:t>
      </w:r>
    </w:p>
    <w:p>
      <w:pPr>
        <w:pStyle w:val="ListParagraph"/>
        <w:spacing w:lineRule="auto" w:line="240" w:before="0" w:after="0"/>
        <w:ind w:left="993"/>
        <w:contextualSpacing/>
        <w:jc w:val="both"/>
        <w:rPr>
          <w:rFonts w:cs="Calibri"/>
          <w:sz w:val="18"/>
          <w:szCs w:val="20"/>
        </w:rPr>
      </w:pPr>
      <w:r>
        <w:rPr>
          <w:rFonts w:cs="Calibri"/>
          <w:sz w:val="18"/>
          <w:szCs w:val="20"/>
        </w:rPr>
      </w:r>
    </w:p>
    <w:p>
      <w:pPr>
        <w:pStyle w:val="Normal"/>
        <w:spacing w:lineRule="auto" w:line="240" w:before="0" w:after="0"/>
        <w:jc w:val="both"/>
        <w:rPr>
          <w:rFonts w:cs="Calibri"/>
          <w:sz w:val="20"/>
          <w:szCs w:val="20"/>
        </w:rPr>
      </w:pPr>
      <w:r>
        <w:rPr>
          <w:rFonts w:cs="Calibri"/>
          <w:sz w:val="20"/>
          <w:szCs w:val="20"/>
        </w:rPr>
        <w:t>10.2. Inne dokumenty</w:t>
      </w:r>
    </w:p>
    <w:p>
      <w:pPr>
        <w:pStyle w:val="ListParagraph"/>
        <w:numPr>
          <w:ilvl w:val="0"/>
          <w:numId w:val="8"/>
        </w:numPr>
        <w:spacing w:lineRule="auto" w:line="240" w:before="0" w:after="0"/>
        <w:ind w:firstLine="284" w:left="567"/>
        <w:contextualSpacing/>
        <w:jc w:val="both"/>
        <w:rPr>
          <w:rFonts w:cs="Calibri"/>
          <w:sz w:val="20"/>
          <w:szCs w:val="20"/>
        </w:rPr>
      </w:pPr>
      <w:r>
        <w:rPr>
          <w:rFonts w:cs="Calibri"/>
          <w:sz w:val="18"/>
          <w:szCs w:val="20"/>
        </w:rPr>
        <w:t>Katalog typowych konstrukcji nawierzchni podatnych i półsztywnych, IBDiM - Warszawa 1997.</w:t>
      </w:r>
    </w:p>
    <w:sectPr>
      <w:headerReference w:type="default" r:id="rId7"/>
      <w:footerReference w:type="default" r:id="rId8"/>
      <w:type w:val="nextPage"/>
      <w:pgSz w:w="11906" w:h="16838"/>
      <w:pgMar w:left="1417" w:right="991" w:gutter="0" w:header="426" w:top="1276" w:footer="378" w:bottom="568"/>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Liberation Sans">
    <w:altName w:val="Arial"/>
    <w:charset w:val="ee"/>
    <w:family w:val="roman"/>
    <w:pitch w:val="variable"/>
  </w:font>
  <w:font w:name="Cambria">
    <w:charset w:val="ee"/>
    <w:family w:val="roman"/>
    <w:pitch w:val="variable"/>
  </w:font>
  <w:font w:name="Times New Roman">
    <w:charset w:val="ee"/>
    <w:family w:val="roman"/>
    <w:pitch w:val="variable"/>
  </w:font>
  <w:font w:name="WP MathA">
    <w:charset w:val="02"/>
    <w:family w:val="roman"/>
    <w:pitch w:val="variable"/>
  </w:font>
  <w:font w:name="CIDFont+F1">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sz w:val="18"/>
      </w:rPr>
    </w:pPr>
    <w:r>
      <w:rPr>
        <w:sz w:val="18"/>
      </w:rPr>
      <w:fldChar w:fldCharType="begin"/>
    </w:r>
    <w:r>
      <w:rPr>
        <w:sz w:val="18"/>
      </w:rPr>
      <w:instrText xml:space="preserve"> PAGE </w:instrText>
    </w:r>
    <w:r>
      <w:rPr>
        <w:sz w:val="18"/>
      </w:rPr>
      <w:fldChar w:fldCharType="separate"/>
    </w:r>
    <w:r>
      <w:rPr>
        <w:sz w:val="18"/>
      </w:rPr>
      <w:t>2</w:t>
    </w:r>
    <w:r>
      <w:rPr>
        <w:sz w:val="18"/>
      </w:rPr>
      <w:fldChar w:fldCharType="end"/>
    </w:r>
  </w:p>
  <w:p>
    <w:pPr>
      <w:pStyle w:val="Footer"/>
      <w:rPr>
        <w:sz w:val="18"/>
      </w:rPr>
    </w:pPr>
    <w:r>
      <w:rPr>
        <w:sz w:val="18"/>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40" w:before="0" w:after="0"/>
      <w:jc w:val="right"/>
      <w:rPr>
        <w:rFonts w:ascii="CIDFont+F1" w:hAnsi="CIDFont+F1" w:cs="CIDFont+F1"/>
        <w:color w:val="000000"/>
        <w:sz w:val="16"/>
        <w:szCs w:val="20"/>
      </w:rPr>
    </w:pPr>
    <w:r>
      <w:rPr>
        <w:rFonts w:cs="CIDFont+F1" w:ascii="CIDFont+F1" w:hAnsi="CIDFont+F1"/>
        <w:color w:val="000000"/>
        <w:sz w:val="16"/>
        <w:szCs w:val="20"/>
      </w:rPr>
      <mc:AlternateContent>
        <mc:Choice Requires="wps">
          <w:drawing>
            <wp:anchor behindDoc="1" distT="0" distB="0" distL="0" distR="0" simplePos="0" locked="0" layoutInCell="1" allowOverlap="1" relativeHeight="20">
              <wp:simplePos x="0" y="0"/>
              <wp:positionH relativeFrom="column">
                <wp:align>left</wp:align>
              </wp:positionH>
              <wp:positionV relativeFrom="line">
                <wp:posOffset>-635</wp:posOffset>
              </wp:positionV>
              <wp:extent cx="6031230" cy="403225"/>
              <wp:effectExtent l="0" t="0" r="0" b="0"/>
              <wp:wrapNone/>
              <wp:docPr id="6" name="Ramka1"/>
              <a:graphic xmlns:a="http://schemas.openxmlformats.org/drawingml/2006/main">
                <a:graphicData uri="http://schemas.microsoft.com/office/word/2010/wordprocessingShape">
                  <wps:wsp>
                    <wps:cNvSpPr/>
                    <wps:spPr>
                      <a:xfrm>
                        <a:off x="0" y="0"/>
                        <a:ext cx="6031080" cy="403200"/>
                      </a:xfrm>
                      <a:prstGeom prst="rect">
                        <a:avLst/>
                      </a:prstGeom>
                      <a:solidFill>
                        <a:srgbClr val="ffffff"/>
                      </a:solidFill>
                      <a:ln w="0">
                        <a:noFill/>
                      </a:ln>
                    </wps:spPr>
                    <wps:style>
                      <a:lnRef idx="0"/>
                      <a:fillRef idx="0"/>
                      <a:effectRef idx="0"/>
                      <a:fontRef idx="minor"/>
                    </wps:style>
                    <wps:txbx>
                      <w:txbxContent>
                        <w:p>
                          <w:pPr>
                            <w:pStyle w:val="Normal"/>
                            <w:spacing w:lineRule="auto" w:line="240" w:before="0" w:after="0"/>
                            <w:jc w:val="right"/>
                            <w:rPr>
                              <w:rFonts w:ascii="CIDFont+F1" w:hAnsi="CIDFont+F1" w:cs="CIDFont+F1"/>
                              <w:color w:val="000000"/>
                              <w:sz w:val="16"/>
                              <w:szCs w:val="20"/>
                            </w:rPr>
                          </w:pPr>
                          <w:r>
                            <w:rPr>
                              <w:rFonts w:cs="CIDFont+F1" w:ascii="CIDFont+F1" w:hAnsi="CIDFont+F1"/>
                              <w:color w:val="000000"/>
                              <w:sz w:val="16"/>
                              <w:szCs w:val="20"/>
                            </w:rPr>
                            <w:t>STWiOR nr 2 (</w:t>
                          </w:r>
                          <w:r>
                            <w:rPr>
                              <w:rFonts w:cs="Calibri"/>
                              <w:color w:val="000000"/>
                              <w:sz w:val="16"/>
                              <w:szCs w:val="20"/>
                            </w:rPr>
                            <w:t>D-04.04.00)</w:t>
                          </w:r>
                          <w:r>
                            <w:rPr>
                              <w:rFonts w:cs="CIDFont+F1" w:ascii="CIDFont+F1" w:hAnsi="CIDFont+F1"/>
                              <w:color w:val="000000"/>
                              <w:sz w:val="16"/>
                              <w:szCs w:val="20"/>
                            </w:rPr>
                            <w:t xml:space="preserve"> </w:t>
                          </w:r>
                        </w:p>
                        <w:p>
                          <w:pPr>
                            <w:pStyle w:val="Normal"/>
                            <w:spacing w:lineRule="auto" w:line="240" w:before="0" w:after="0"/>
                            <w:jc w:val="right"/>
                            <w:rPr>
                              <w:rFonts w:cs="Calibri"/>
                              <w:b/>
                              <w:color w:val="808080"/>
                              <w:sz w:val="14"/>
                              <w:szCs w:val="14"/>
                            </w:rPr>
                          </w:pPr>
                          <w:r>
                            <w:rPr>
                              <w:rFonts w:cs="Calibri"/>
                              <w:b/>
                              <w:color w:val="808080"/>
                              <w:sz w:val="14"/>
                              <w:szCs w:val="16"/>
                            </w:rPr>
                            <w:t>IZP.271.2.</w:t>
                          </w:r>
                          <w:r>
                            <w:rPr>
                              <w:rFonts w:cs="Calibri"/>
                              <w:b/>
                              <w:color w:val="808080"/>
                              <w:sz w:val="14"/>
                              <w:szCs w:val="16"/>
                            </w:rPr>
                            <w:t>6</w:t>
                          </w:r>
                          <w:r>
                            <w:rPr>
                              <w:rFonts w:cs="Calibri"/>
                              <w:b/>
                              <w:color w:val="808080"/>
                              <w:sz w:val="14"/>
                              <w:szCs w:val="16"/>
                            </w:rPr>
                            <w:t>.</w:t>
                          </w:r>
                          <w:r>
                            <w:rPr>
                              <w:rFonts w:cs="Calibri"/>
                              <w:b/>
                              <w:color w:val="808080"/>
                              <w:sz w:val="14"/>
                              <w:szCs w:val="14"/>
                            </w:rPr>
                            <w:t>202</w:t>
                          </w:r>
                          <w:r>
                            <w:rPr>
                              <w:rFonts w:cs="Calibri"/>
                              <w:b/>
                              <w:color w:val="808080"/>
                              <w:sz w:val="14"/>
                              <w:szCs w:val="14"/>
                            </w:rPr>
                            <w:t>6</w:t>
                          </w:r>
                          <w:r>
                            <w:rPr>
                              <w:rFonts w:cs="Calibri"/>
                              <w:b/>
                              <w:color w:val="808080"/>
                              <w:sz w:val="14"/>
                              <w:szCs w:val="14"/>
                            </w:rPr>
                            <w:t xml:space="preserve">                                                                                                                             </w:t>
                          </w:r>
                          <w:r>
                            <w:rPr>
                              <w:rFonts w:cs="Calibri"/>
                              <w:b/>
                              <w:bCs/>
                              <w:color w:val="808080"/>
                              <w:sz w:val="14"/>
                              <w:szCs w:val="14"/>
                            </w:rPr>
                            <w:t xml:space="preserve"> Remonty nawierzchni mineralno-bitumicznych dróg gminnych w 202</w:t>
                          </w:r>
                          <w:r>
                            <w:rPr>
                              <w:rFonts w:cs="Calibri"/>
                              <w:b/>
                              <w:bCs/>
                              <w:color w:val="808080"/>
                              <w:sz w:val="14"/>
                              <w:szCs w:val="14"/>
                            </w:rPr>
                            <w:t>6</w:t>
                          </w:r>
                          <w:r>
                            <w:rPr>
                              <w:rFonts w:cs="Calibri"/>
                              <w:b/>
                              <w:bCs/>
                              <w:color w:val="808080"/>
                              <w:sz w:val="14"/>
                              <w:szCs w:val="14"/>
                            </w:rPr>
                            <w:t xml:space="preserve"> roku</w:t>
                          </w:r>
                        </w:p>
                        <w:p>
                          <w:pPr>
                            <w:pStyle w:val="Header"/>
                            <w:rPr>
                              <w:color w:val="000000"/>
                            </w:rPr>
                          </w:pPr>
                          <w:r>
                            <w:rPr>
                              <w:color w:val="000000"/>
                            </w:rPr>
                          </w:r>
                        </w:p>
                      </w:txbxContent>
                    </wps:txbx>
                    <wps:bodyPr lIns="0" rIns="0" tIns="0" bIns="0" anchor="t">
                      <a:noAutofit/>
                    </wps:bodyPr>
                  </wps:wsp>
                </a:graphicData>
              </a:graphic>
            </wp:anchor>
          </w:drawing>
        </mc:Choice>
        <mc:Fallback>
          <w:pict>
            <v:rect id="shape_0" ID="Ramka1" path="m0,0l-2147483645,0l-2147483645,-2147483646l0,-2147483646xe" fillcolor="white" stroked="f" o:allowincell="f" style="position:absolute;margin-left:0pt;margin-top:-0.05pt;width:474.85pt;height:31.7pt;mso-wrap-style:square;v-text-anchor:top;mso-position-horizontal:left">
              <v:fill o:detectmouseclick="t" type="solid" color2="black"/>
              <v:stroke color="#3465a4" joinstyle="round" endcap="flat"/>
              <v:textbox>
                <w:txbxContent>
                  <w:p>
                    <w:pPr>
                      <w:pStyle w:val="Normal"/>
                      <w:spacing w:lineRule="auto" w:line="240" w:before="0" w:after="0"/>
                      <w:jc w:val="right"/>
                      <w:rPr>
                        <w:rFonts w:ascii="CIDFont+F1" w:hAnsi="CIDFont+F1" w:cs="CIDFont+F1"/>
                        <w:color w:val="000000"/>
                        <w:sz w:val="16"/>
                        <w:szCs w:val="20"/>
                      </w:rPr>
                    </w:pPr>
                    <w:r>
                      <w:rPr>
                        <w:rFonts w:cs="CIDFont+F1" w:ascii="CIDFont+F1" w:hAnsi="CIDFont+F1"/>
                        <w:color w:val="000000"/>
                        <w:sz w:val="16"/>
                        <w:szCs w:val="20"/>
                      </w:rPr>
                      <w:t>STWiOR nr 2 (</w:t>
                    </w:r>
                    <w:r>
                      <w:rPr>
                        <w:rFonts w:cs="Calibri"/>
                        <w:color w:val="000000"/>
                        <w:sz w:val="16"/>
                        <w:szCs w:val="20"/>
                      </w:rPr>
                      <w:t>D-04.04.00)</w:t>
                    </w:r>
                    <w:r>
                      <w:rPr>
                        <w:rFonts w:cs="CIDFont+F1" w:ascii="CIDFont+F1" w:hAnsi="CIDFont+F1"/>
                        <w:color w:val="000000"/>
                        <w:sz w:val="16"/>
                        <w:szCs w:val="20"/>
                      </w:rPr>
                      <w:t xml:space="preserve"> </w:t>
                    </w:r>
                  </w:p>
                  <w:p>
                    <w:pPr>
                      <w:pStyle w:val="Normal"/>
                      <w:spacing w:lineRule="auto" w:line="240" w:before="0" w:after="0"/>
                      <w:jc w:val="right"/>
                      <w:rPr>
                        <w:rFonts w:cs="Calibri"/>
                        <w:b/>
                        <w:color w:val="808080"/>
                        <w:sz w:val="14"/>
                        <w:szCs w:val="14"/>
                      </w:rPr>
                    </w:pPr>
                    <w:r>
                      <w:rPr>
                        <w:rFonts w:cs="Calibri"/>
                        <w:b/>
                        <w:color w:val="808080"/>
                        <w:sz w:val="14"/>
                        <w:szCs w:val="16"/>
                      </w:rPr>
                      <w:t>IZP.271.2.</w:t>
                    </w:r>
                    <w:r>
                      <w:rPr>
                        <w:rFonts w:cs="Calibri"/>
                        <w:b/>
                        <w:color w:val="808080"/>
                        <w:sz w:val="14"/>
                        <w:szCs w:val="16"/>
                      </w:rPr>
                      <w:t>6</w:t>
                    </w:r>
                    <w:r>
                      <w:rPr>
                        <w:rFonts w:cs="Calibri"/>
                        <w:b/>
                        <w:color w:val="808080"/>
                        <w:sz w:val="14"/>
                        <w:szCs w:val="16"/>
                      </w:rPr>
                      <w:t>.</w:t>
                    </w:r>
                    <w:r>
                      <w:rPr>
                        <w:rFonts w:cs="Calibri"/>
                        <w:b/>
                        <w:color w:val="808080"/>
                        <w:sz w:val="14"/>
                        <w:szCs w:val="14"/>
                      </w:rPr>
                      <w:t>202</w:t>
                    </w:r>
                    <w:r>
                      <w:rPr>
                        <w:rFonts w:cs="Calibri"/>
                        <w:b/>
                        <w:color w:val="808080"/>
                        <w:sz w:val="14"/>
                        <w:szCs w:val="14"/>
                      </w:rPr>
                      <w:t>6</w:t>
                    </w:r>
                    <w:r>
                      <w:rPr>
                        <w:rFonts w:cs="Calibri"/>
                        <w:b/>
                        <w:color w:val="808080"/>
                        <w:sz w:val="14"/>
                        <w:szCs w:val="14"/>
                      </w:rPr>
                      <w:t xml:space="preserve">                                                                                                                             </w:t>
                    </w:r>
                    <w:r>
                      <w:rPr>
                        <w:rFonts w:cs="Calibri"/>
                        <w:b/>
                        <w:bCs/>
                        <w:color w:val="808080"/>
                        <w:sz w:val="14"/>
                        <w:szCs w:val="14"/>
                      </w:rPr>
                      <w:t xml:space="preserve"> Remonty nawierzchni mineralno-bitumicznych dróg gminnych w 202</w:t>
                    </w:r>
                    <w:r>
                      <w:rPr>
                        <w:rFonts w:cs="Calibri"/>
                        <w:b/>
                        <w:bCs/>
                        <w:color w:val="808080"/>
                        <w:sz w:val="14"/>
                        <w:szCs w:val="14"/>
                      </w:rPr>
                      <w:t>6</w:t>
                    </w:r>
                    <w:r>
                      <w:rPr>
                        <w:rFonts w:cs="Calibri"/>
                        <w:b/>
                        <w:bCs/>
                        <w:color w:val="808080"/>
                        <w:sz w:val="14"/>
                        <w:szCs w:val="14"/>
                      </w:rPr>
                      <w:t xml:space="preserve"> roku</w:t>
                    </w:r>
                  </w:p>
                  <w:p>
                    <w:pPr>
                      <w:pStyle w:val="Header"/>
                      <w:rPr>
                        <w:color w:val="000000"/>
                      </w:rPr>
                    </w:pPr>
                    <w:r>
                      <w:rPr>
                        <w:color w:val="000000"/>
                      </w:rPr>
                    </w:r>
                  </w:p>
                </w:txbxContent>
              </v:textbox>
              <w10:wrap type="none"/>
            </v:rect>
          </w:pict>
        </mc:Fallback>
      </mc:AlternateContent>
      <mc:AlternateContent>
        <mc:Choice Requires="wps">
          <w:drawing>
            <wp:anchor behindDoc="1" distT="635" distB="635" distL="635" distR="635" simplePos="0" locked="0" layoutInCell="1" allowOverlap="1" relativeHeight="30">
              <wp:simplePos x="0" y="0"/>
              <wp:positionH relativeFrom="column">
                <wp:posOffset>0</wp:posOffset>
              </wp:positionH>
              <wp:positionV relativeFrom="paragraph">
                <wp:posOffset>292735</wp:posOffset>
              </wp:positionV>
              <wp:extent cx="5939790" cy="635"/>
              <wp:effectExtent l="635" t="635" r="635" b="635"/>
              <wp:wrapNone/>
              <wp:docPr id="7" name="Kształt2"/>
              <a:graphic xmlns:a="http://schemas.openxmlformats.org/drawingml/2006/main">
                <a:graphicData uri="http://schemas.microsoft.com/office/word/2010/wordprocessingShape">
                  <wps:wsp>
                    <wps:cNvSpPr/>
                    <wps:spPr>
                      <a:xfrm>
                        <a:off x="0" y="0"/>
                        <a:ext cx="5939640" cy="720"/>
                      </a:xfrm>
                      <a:prstGeom prst="line">
                        <a:avLst/>
                      </a:prstGeom>
                      <a:ln w="0">
                        <a:solidFill>
                          <a:srgbClr val="808080"/>
                        </a:solidFill>
                      </a:ln>
                    </wps:spPr>
                    <wps:style>
                      <a:lnRef idx="0"/>
                      <a:fillRef idx="0"/>
                      <a:effectRef idx="0"/>
                      <a:fontRef idx="minor"/>
                    </wps:style>
                    <wps:bodyPr/>
                  </wps:wsp>
                </a:graphicData>
              </a:graphic>
            </wp:anchor>
          </w:drawing>
        </mc:Choice>
        <mc:Fallback>
          <w:pict>
            <v:line id="shape_0" from="0pt,23.05pt" to="467.65pt,23.05pt" ID="Kształt2" stroked="t" o:allowincell="f" style="position:absolute">
              <v:stroke color="gray" joinstyle="round" endcap="flat"/>
              <v:fill o:detectmouseclick="t" on="false"/>
              <w10:wrap type="none"/>
            </v:line>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lvl w:ilvl="0">
      <w:start w:val="1"/>
      <w:numFmt w:val="lowerLetter"/>
      <w:lvlText w:val="%1)"/>
      <w:lvlJc w:val="left"/>
      <w:pPr>
        <w:tabs>
          <w:tab w:val="num" w:pos="0"/>
        </w:tabs>
        <w:ind w:left="1571" w:hanging="360"/>
      </w:pPr>
      <w:rPr>
        <w:rFonts w:cs="Times New Roman"/>
      </w:rPr>
    </w:lvl>
    <w:lvl w:ilvl="1">
      <w:start w:val="1"/>
      <w:numFmt w:val="lowerLetter"/>
      <w:lvlText w:val="%2."/>
      <w:lvlJc w:val="left"/>
      <w:pPr>
        <w:tabs>
          <w:tab w:val="num" w:pos="0"/>
        </w:tabs>
        <w:ind w:left="2291" w:hanging="360"/>
      </w:pPr>
      <w:rPr>
        <w:rFonts w:cs="Times New Roman"/>
      </w:rPr>
    </w:lvl>
    <w:lvl w:ilvl="2">
      <w:start w:val="1"/>
      <w:numFmt w:val="lowerRoman"/>
      <w:lvlText w:val="%3."/>
      <w:lvlJc w:val="right"/>
      <w:pPr>
        <w:tabs>
          <w:tab w:val="num" w:pos="0"/>
        </w:tabs>
        <w:ind w:left="3011" w:hanging="180"/>
      </w:pPr>
      <w:rPr>
        <w:rFonts w:cs="Times New Roman"/>
      </w:rPr>
    </w:lvl>
    <w:lvl w:ilvl="3">
      <w:start w:val="1"/>
      <w:numFmt w:val="decimal"/>
      <w:lvlText w:val="%4."/>
      <w:lvlJc w:val="left"/>
      <w:pPr>
        <w:tabs>
          <w:tab w:val="num" w:pos="0"/>
        </w:tabs>
        <w:ind w:left="3731" w:hanging="360"/>
      </w:pPr>
      <w:rPr>
        <w:rFonts w:cs="Times New Roman"/>
      </w:rPr>
    </w:lvl>
    <w:lvl w:ilvl="4">
      <w:start w:val="1"/>
      <w:numFmt w:val="lowerLetter"/>
      <w:lvlText w:val="%5."/>
      <w:lvlJc w:val="left"/>
      <w:pPr>
        <w:tabs>
          <w:tab w:val="num" w:pos="0"/>
        </w:tabs>
        <w:ind w:left="4451" w:hanging="360"/>
      </w:pPr>
      <w:rPr>
        <w:rFonts w:cs="Times New Roman"/>
      </w:rPr>
    </w:lvl>
    <w:lvl w:ilvl="5">
      <w:start w:val="1"/>
      <w:numFmt w:val="lowerRoman"/>
      <w:lvlText w:val="%6."/>
      <w:lvlJc w:val="right"/>
      <w:pPr>
        <w:tabs>
          <w:tab w:val="num" w:pos="0"/>
        </w:tabs>
        <w:ind w:left="5171" w:hanging="180"/>
      </w:pPr>
      <w:rPr>
        <w:rFonts w:cs="Times New Roman"/>
      </w:rPr>
    </w:lvl>
    <w:lvl w:ilvl="6">
      <w:start w:val="1"/>
      <w:numFmt w:val="decimal"/>
      <w:lvlText w:val="%7."/>
      <w:lvlJc w:val="left"/>
      <w:pPr>
        <w:tabs>
          <w:tab w:val="num" w:pos="0"/>
        </w:tabs>
        <w:ind w:left="5891" w:hanging="360"/>
      </w:pPr>
      <w:rPr>
        <w:rFonts w:cs="Times New Roman"/>
      </w:rPr>
    </w:lvl>
    <w:lvl w:ilvl="7">
      <w:start w:val="1"/>
      <w:numFmt w:val="lowerLetter"/>
      <w:lvlText w:val="%8."/>
      <w:lvlJc w:val="left"/>
      <w:pPr>
        <w:tabs>
          <w:tab w:val="num" w:pos="0"/>
        </w:tabs>
        <w:ind w:left="6611" w:hanging="360"/>
      </w:pPr>
      <w:rPr>
        <w:rFonts w:cs="Times New Roman"/>
      </w:rPr>
    </w:lvl>
    <w:lvl w:ilvl="8">
      <w:start w:val="1"/>
      <w:numFmt w:val="lowerRoman"/>
      <w:lvlText w:val="%9."/>
      <w:lvlJc w:val="right"/>
      <w:pPr>
        <w:tabs>
          <w:tab w:val="num" w:pos="0"/>
        </w:tabs>
        <w:ind w:left="7331" w:hanging="180"/>
      </w:pPr>
      <w:rPr>
        <w:rFonts w:cs="Times New Roman"/>
      </w:rPr>
    </w:lvl>
  </w:abstractNum>
  <w:abstractNum w:abstractNumId="4">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5">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6">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7">
    <w:lvl w:ilvl="0">
      <w:start w:val="1"/>
      <w:numFmt w:val="decimal"/>
      <w:lvlText w:val="%1."/>
      <w:lvlJc w:val="left"/>
      <w:pPr>
        <w:tabs>
          <w:tab w:val="num" w:pos="0"/>
        </w:tabs>
        <w:ind w:left="1211"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lvl w:ilvl="0">
      <w:start w:val="1"/>
      <w:numFmt w:val="decimal"/>
      <w:lvlText w:val="%1."/>
      <w:lvlJc w:val="left"/>
      <w:pPr>
        <w:tabs>
          <w:tab w:val="num" w:pos="0"/>
        </w:tabs>
        <w:ind w:left="1844" w:hanging="360"/>
      </w:pPr>
      <w:rPr>
        <w:rFonts w:cs="Times New Roman"/>
      </w:rPr>
    </w:lvl>
    <w:lvl w:ilvl="1">
      <w:start w:val="1"/>
      <w:numFmt w:val="lowerLetter"/>
      <w:lvlText w:val="%2."/>
      <w:lvlJc w:val="left"/>
      <w:pPr>
        <w:tabs>
          <w:tab w:val="num" w:pos="0"/>
        </w:tabs>
        <w:ind w:left="2073" w:hanging="360"/>
      </w:pPr>
      <w:rPr>
        <w:rFonts w:cs="Times New Roman"/>
      </w:rPr>
    </w:lvl>
    <w:lvl w:ilvl="2">
      <w:start w:val="1"/>
      <w:numFmt w:val="lowerRoman"/>
      <w:lvlText w:val="%3."/>
      <w:lvlJc w:val="right"/>
      <w:pPr>
        <w:tabs>
          <w:tab w:val="num" w:pos="0"/>
        </w:tabs>
        <w:ind w:left="2793" w:hanging="180"/>
      </w:pPr>
      <w:rPr>
        <w:rFonts w:cs="Times New Roman"/>
      </w:rPr>
    </w:lvl>
    <w:lvl w:ilvl="3">
      <w:start w:val="1"/>
      <w:numFmt w:val="decimal"/>
      <w:lvlText w:val="%4."/>
      <w:lvlJc w:val="left"/>
      <w:pPr>
        <w:tabs>
          <w:tab w:val="num" w:pos="0"/>
        </w:tabs>
        <w:ind w:left="3513" w:hanging="360"/>
      </w:pPr>
      <w:rPr>
        <w:rFonts w:cs="Times New Roman"/>
      </w:rPr>
    </w:lvl>
    <w:lvl w:ilvl="4">
      <w:start w:val="1"/>
      <w:numFmt w:val="lowerLetter"/>
      <w:lvlText w:val="%5."/>
      <w:lvlJc w:val="left"/>
      <w:pPr>
        <w:tabs>
          <w:tab w:val="num" w:pos="0"/>
        </w:tabs>
        <w:ind w:left="4233" w:hanging="360"/>
      </w:pPr>
      <w:rPr>
        <w:rFonts w:cs="Times New Roman"/>
      </w:rPr>
    </w:lvl>
    <w:lvl w:ilvl="5">
      <w:start w:val="1"/>
      <w:numFmt w:val="lowerRoman"/>
      <w:lvlText w:val="%6."/>
      <w:lvlJc w:val="right"/>
      <w:pPr>
        <w:tabs>
          <w:tab w:val="num" w:pos="0"/>
        </w:tabs>
        <w:ind w:left="4953" w:hanging="180"/>
      </w:pPr>
      <w:rPr>
        <w:rFonts w:cs="Times New Roman"/>
      </w:rPr>
    </w:lvl>
    <w:lvl w:ilvl="6">
      <w:start w:val="1"/>
      <w:numFmt w:val="decimal"/>
      <w:lvlText w:val="%7."/>
      <w:lvlJc w:val="left"/>
      <w:pPr>
        <w:tabs>
          <w:tab w:val="num" w:pos="0"/>
        </w:tabs>
        <w:ind w:left="5673" w:hanging="360"/>
      </w:pPr>
      <w:rPr>
        <w:rFonts w:cs="Times New Roman"/>
      </w:rPr>
    </w:lvl>
    <w:lvl w:ilvl="7">
      <w:start w:val="1"/>
      <w:numFmt w:val="lowerLetter"/>
      <w:lvlText w:val="%8."/>
      <w:lvlJc w:val="left"/>
      <w:pPr>
        <w:tabs>
          <w:tab w:val="num" w:pos="0"/>
        </w:tabs>
        <w:ind w:left="6393" w:hanging="360"/>
      </w:pPr>
      <w:rPr>
        <w:rFonts w:cs="Times New Roman"/>
      </w:rPr>
    </w:lvl>
    <w:lvl w:ilvl="8">
      <w:start w:val="1"/>
      <w:numFmt w:val="lowerRoman"/>
      <w:lvlText w:val="%9."/>
      <w:lvlJc w:val="right"/>
      <w:pPr>
        <w:tabs>
          <w:tab w:val="num" w:pos="0"/>
        </w:tabs>
        <w:ind w:left="7113" w:hanging="180"/>
      </w:pPr>
      <w:rPr>
        <w:rFonts w:cs="Times New Roman"/>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pl-PL" w:eastAsia="pl-PL"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279a7"/>
    <w:pPr>
      <w:widowControl/>
      <w:suppressAutoHyphens w:val="true"/>
      <w:bidi w:val="0"/>
      <w:spacing w:lineRule="auto" w:line="276" w:before="0" w:after="200"/>
      <w:jc w:val="left"/>
    </w:pPr>
    <w:rPr>
      <w:rFonts w:ascii="Calibri" w:hAnsi="Calibri" w:eastAsia="Calibri" w:cs="Times New Roman"/>
      <w:color w:val="auto"/>
      <w:kern w:val="0"/>
      <w:sz w:val="22"/>
      <w:szCs w:val="22"/>
      <w:lang w:val="pl-PL" w:eastAsia="en-US" w:bidi="ar-SA"/>
    </w:rPr>
  </w:style>
  <w:style w:type="character" w:styleId="DefaultParagraphFont" w:default="1">
    <w:name w:val="Default Paragraph Font"/>
    <w:uiPriority w:val="99"/>
    <w:semiHidden/>
    <w:qFormat/>
    <w:rPr/>
  </w:style>
  <w:style w:type="character" w:styleId="HeaderChar" w:customStyle="1">
    <w:name w:val="Header Char"/>
    <w:basedOn w:val="DefaultParagraphFont"/>
    <w:uiPriority w:val="99"/>
    <w:qFormat/>
    <w:locked/>
    <w:rsid w:val="00d53814"/>
    <w:rPr>
      <w:rFonts w:cs="Times New Roman"/>
    </w:rPr>
  </w:style>
  <w:style w:type="character" w:styleId="FooterChar" w:customStyle="1">
    <w:name w:val="Footer Char"/>
    <w:basedOn w:val="DefaultParagraphFont"/>
    <w:uiPriority w:val="99"/>
    <w:qFormat/>
    <w:locked/>
    <w:rsid w:val="00d53814"/>
    <w:rPr>
      <w:rFonts w:cs="Times New Roman"/>
    </w:rPr>
  </w:style>
  <w:style w:type="character" w:styleId="PlaceholderText">
    <w:name w:val="Placeholder Text"/>
    <w:basedOn w:val="DefaultParagraphFont"/>
    <w:uiPriority w:val="99"/>
    <w:semiHidden/>
    <w:qFormat/>
    <w:rsid w:val="00ee2a79"/>
    <w:rPr>
      <w:rFonts w:cs="Times New Roman"/>
      <w:color w:val="808080"/>
    </w:rPr>
  </w:style>
  <w:style w:type="character" w:styleId="BalloonTextChar" w:customStyle="1">
    <w:name w:val="Balloon Text Char"/>
    <w:basedOn w:val="DefaultParagraphFont"/>
    <w:link w:val="BalloonText"/>
    <w:uiPriority w:val="99"/>
    <w:semiHidden/>
    <w:qFormat/>
    <w:locked/>
    <w:rsid w:val="00ee2a79"/>
    <w:rPr>
      <w:rFonts w:ascii="Tahoma" w:hAnsi="Tahoma" w:cs="Tahoma"/>
      <w:sz w:val="16"/>
      <w:szCs w:val="16"/>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Gwkaistopka">
    <w:name w:val="Główka i stopka"/>
    <w:basedOn w:val="Normal"/>
    <w:qFormat/>
    <w:pPr/>
    <w:rPr/>
  </w:style>
  <w:style w:type="paragraph" w:styleId="Header">
    <w:name w:val="Header"/>
    <w:basedOn w:val="Normal"/>
    <w:link w:val="HeaderChar"/>
    <w:uiPriority w:val="99"/>
    <w:rsid w:val="00d53814"/>
    <w:pPr>
      <w:tabs>
        <w:tab w:val="clear" w:pos="708"/>
        <w:tab w:val="center" w:pos="4536" w:leader="none"/>
        <w:tab w:val="right" w:pos="9072" w:leader="none"/>
      </w:tabs>
      <w:spacing w:lineRule="auto" w:line="240" w:before="0" w:after="0"/>
    </w:pPr>
    <w:rPr/>
  </w:style>
  <w:style w:type="paragraph" w:styleId="Footer">
    <w:name w:val="Footer"/>
    <w:basedOn w:val="Normal"/>
    <w:link w:val="FooterChar"/>
    <w:uiPriority w:val="99"/>
    <w:rsid w:val="00d53814"/>
    <w:pPr>
      <w:tabs>
        <w:tab w:val="clear" w:pos="708"/>
        <w:tab w:val="center" w:pos="4536" w:leader="none"/>
        <w:tab w:val="right" w:pos="9072" w:leader="none"/>
      </w:tabs>
      <w:spacing w:lineRule="auto" w:line="240" w:before="0" w:after="0"/>
    </w:pPr>
    <w:rPr/>
  </w:style>
  <w:style w:type="paragraph" w:styleId="ListParagraph">
    <w:name w:val="List Paragraph"/>
    <w:basedOn w:val="Normal"/>
    <w:uiPriority w:val="99"/>
    <w:qFormat/>
    <w:rsid w:val="00d53814"/>
    <w:pPr>
      <w:spacing w:before="0" w:after="200"/>
      <w:ind w:left="720"/>
      <w:contextualSpacing/>
    </w:pPr>
    <w:rPr/>
  </w:style>
  <w:style w:type="paragraph" w:styleId="BalloonText">
    <w:name w:val="Balloon Text"/>
    <w:basedOn w:val="Normal"/>
    <w:link w:val="BalloonTextChar"/>
    <w:uiPriority w:val="99"/>
    <w:semiHidden/>
    <w:qFormat/>
    <w:rsid w:val="00ee2a79"/>
    <w:pPr>
      <w:spacing w:lineRule="auto" w:line="240" w:before="0" w:after="0"/>
    </w:pPr>
    <w:rPr>
      <w:rFonts w:ascii="Tahoma" w:hAnsi="Tahoma" w:cs="Tahoma"/>
      <w:sz w:val="16"/>
      <w:szCs w:val="16"/>
    </w:rPr>
  </w:style>
  <w:style w:type="paragraph" w:styleId="Zawartoramki">
    <w:name w:val="Zawartość ramki"/>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table" w:styleId="TableGrid">
    <w:name w:val="Table Grid"/>
    <w:basedOn w:val="TableNormal"/>
    <w:uiPriority w:val="99"/>
    <w:rsid w:val="00a45bbe"/>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Normal_Wordconv.dotm</Template>
  <TotalTime>153</TotalTime>
  <Application>LibreOffice/7.6.2.1$Windows_X86_64 LibreOffice_project/56f7684011345957bbf33a7ee678afaf4d2ba333</Application>
  <AppVersion>15.0000</AppVersion>
  <Pages>9</Pages>
  <Words>2816</Words>
  <Characters>18170</Characters>
  <CharactersWithSpaces>20690</CharactersWithSpaces>
  <Paragraphs>401</Paragraphs>
  <Company>PKiI UMDT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2023-06-02T09:01:00Z</dcterms:created>
  <dc:creator>dell</dc:creator>
  <dc:description/>
  <dc:language>pl-PL</dc:language>
  <cp:lastModifiedBy/>
  <dcterms:modified xsi:type="dcterms:W3CDTF">2026-02-27T11:36:25Z</dcterms:modified>
  <cp:revision>62</cp:revision>
  <dc:subject/>
  <dc:title/>
</cp:coreProperties>
</file>

<file path=docProps/custom.xml><?xml version="1.0" encoding="utf-8"?>
<Properties xmlns="http://schemas.openxmlformats.org/officeDocument/2006/custom-properties" xmlns:vt="http://schemas.openxmlformats.org/officeDocument/2006/docPropsVTypes"/>
</file>